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F61A" w14:textId="77777777" w:rsidR="003A46D8" w:rsidRPr="00E06CB8" w:rsidRDefault="003A46D8" w:rsidP="003A46D8">
      <w:pPr>
        <w:jc w:val="center"/>
        <w:rPr>
          <w:b/>
          <w:bCs/>
          <w:sz w:val="40"/>
          <w:szCs w:val="40"/>
        </w:rPr>
      </w:pPr>
      <w:bookmarkStart w:id="0" w:name="_GoBack"/>
      <w:bookmarkEnd w:id="0"/>
    </w:p>
    <w:p w14:paraId="31B99126" w14:textId="77777777" w:rsidR="00D82F52" w:rsidRDefault="00D82F52" w:rsidP="003A46D8">
      <w:pPr>
        <w:jc w:val="center"/>
        <w:rPr>
          <w:b/>
          <w:bCs/>
          <w:sz w:val="40"/>
          <w:szCs w:val="40"/>
        </w:rPr>
      </w:pPr>
    </w:p>
    <w:p w14:paraId="6B8EA040" w14:textId="77777777" w:rsidR="00D82F52" w:rsidRDefault="00D82F52" w:rsidP="003A46D8">
      <w:pPr>
        <w:jc w:val="center"/>
        <w:rPr>
          <w:b/>
          <w:bCs/>
          <w:sz w:val="40"/>
          <w:szCs w:val="40"/>
        </w:rPr>
      </w:pPr>
    </w:p>
    <w:p w14:paraId="6738642B" w14:textId="77777777" w:rsidR="00D82F52" w:rsidRDefault="00D82F52" w:rsidP="003A46D8">
      <w:pPr>
        <w:jc w:val="center"/>
        <w:rPr>
          <w:b/>
          <w:bCs/>
          <w:sz w:val="40"/>
          <w:szCs w:val="40"/>
        </w:rPr>
      </w:pPr>
    </w:p>
    <w:p w14:paraId="19D2C738" w14:textId="77777777" w:rsidR="00D82F52" w:rsidRDefault="00D82F52" w:rsidP="003A46D8">
      <w:pPr>
        <w:jc w:val="center"/>
        <w:rPr>
          <w:b/>
          <w:bCs/>
          <w:sz w:val="40"/>
          <w:szCs w:val="40"/>
        </w:rPr>
      </w:pPr>
    </w:p>
    <w:p w14:paraId="7255052E" w14:textId="77777777" w:rsidR="00D82F52" w:rsidRDefault="00D82F52" w:rsidP="003A46D8">
      <w:pPr>
        <w:jc w:val="center"/>
        <w:rPr>
          <w:b/>
          <w:bCs/>
          <w:sz w:val="40"/>
          <w:szCs w:val="40"/>
        </w:rPr>
      </w:pPr>
    </w:p>
    <w:p w14:paraId="2660CA09" w14:textId="77777777" w:rsidR="00D82F52" w:rsidRDefault="00D82F52" w:rsidP="003A46D8">
      <w:pPr>
        <w:jc w:val="center"/>
        <w:rPr>
          <w:b/>
          <w:bCs/>
          <w:sz w:val="40"/>
          <w:szCs w:val="40"/>
        </w:rPr>
      </w:pPr>
    </w:p>
    <w:p w14:paraId="57BB470B" w14:textId="77777777" w:rsidR="00D82F52" w:rsidRDefault="00D82F52" w:rsidP="003A46D8">
      <w:pPr>
        <w:jc w:val="center"/>
        <w:rPr>
          <w:b/>
          <w:bCs/>
          <w:sz w:val="40"/>
          <w:szCs w:val="40"/>
        </w:rPr>
      </w:pPr>
    </w:p>
    <w:p w14:paraId="33AFB1B3" w14:textId="77777777" w:rsidR="00D82F52" w:rsidRDefault="00D82F52" w:rsidP="003A46D8">
      <w:pPr>
        <w:jc w:val="center"/>
        <w:rPr>
          <w:b/>
          <w:bCs/>
          <w:sz w:val="40"/>
          <w:szCs w:val="40"/>
        </w:rPr>
      </w:pPr>
    </w:p>
    <w:p w14:paraId="36DB1E85" w14:textId="77777777" w:rsidR="00D82F52" w:rsidRDefault="00D82F52" w:rsidP="003A46D8">
      <w:pPr>
        <w:jc w:val="center"/>
        <w:rPr>
          <w:b/>
          <w:bCs/>
          <w:sz w:val="40"/>
          <w:szCs w:val="40"/>
        </w:rPr>
      </w:pPr>
    </w:p>
    <w:p w14:paraId="092770E2" w14:textId="77777777" w:rsidR="00D82F52" w:rsidRDefault="00D82F52" w:rsidP="003A46D8">
      <w:pPr>
        <w:jc w:val="center"/>
        <w:rPr>
          <w:b/>
          <w:bCs/>
          <w:sz w:val="40"/>
          <w:szCs w:val="40"/>
        </w:rPr>
      </w:pPr>
    </w:p>
    <w:p w14:paraId="44BE7F78" w14:textId="77777777" w:rsidR="00D82F52" w:rsidRDefault="00D82F52" w:rsidP="003A46D8">
      <w:pPr>
        <w:jc w:val="center"/>
        <w:rPr>
          <w:b/>
          <w:bCs/>
          <w:sz w:val="40"/>
          <w:szCs w:val="40"/>
        </w:rPr>
      </w:pPr>
    </w:p>
    <w:p w14:paraId="66D650E9" w14:textId="77777777" w:rsidR="00D82F52" w:rsidRDefault="00D82F52" w:rsidP="003A46D8">
      <w:pPr>
        <w:jc w:val="center"/>
        <w:rPr>
          <w:b/>
          <w:bCs/>
          <w:sz w:val="40"/>
          <w:szCs w:val="40"/>
        </w:rPr>
      </w:pPr>
    </w:p>
    <w:p w14:paraId="5AAF16A0" w14:textId="5B2CF596" w:rsidR="004427F1" w:rsidRPr="00571CEB" w:rsidRDefault="004427F1" w:rsidP="003A46D8">
      <w:pPr>
        <w:jc w:val="center"/>
        <w:rPr>
          <w:b/>
          <w:bCs/>
          <w:sz w:val="52"/>
          <w:szCs w:val="52"/>
        </w:rPr>
      </w:pPr>
      <w:r w:rsidRPr="00571CEB">
        <w:rPr>
          <w:b/>
          <w:bCs/>
          <w:sz w:val="52"/>
          <w:szCs w:val="52"/>
        </w:rPr>
        <w:t>Violence Against Women and Girls (</w:t>
      </w:r>
      <w:r w:rsidR="008E2F72" w:rsidRPr="00571CEB">
        <w:rPr>
          <w:b/>
          <w:bCs/>
          <w:sz w:val="52"/>
          <w:szCs w:val="52"/>
        </w:rPr>
        <w:t>VAWG</w:t>
      </w:r>
      <w:r w:rsidRPr="00571CEB">
        <w:rPr>
          <w:b/>
          <w:bCs/>
          <w:sz w:val="52"/>
          <w:szCs w:val="52"/>
        </w:rPr>
        <w:t>)</w:t>
      </w:r>
      <w:r w:rsidR="008E2F72" w:rsidRPr="00571CEB">
        <w:rPr>
          <w:b/>
          <w:bCs/>
          <w:sz w:val="52"/>
          <w:szCs w:val="52"/>
        </w:rPr>
        <w:t xml:space="preserve"> </w:t>
      </w:r>
    </w:p>
    <w:p w14:paraId="77FB6AD0" w14:textId="77777777" w:rsidR="00571CEB" w:rsidRDefault="00571CEB" w:rsidP="003A46D8">
      <w:pPr>
        <w:jc w:val="center"/>
        <w:rPr>
          <w:b/>
          <w:bCs/>
          <w:sz w:val="40"/>
          <w:szCs w:val="40"/>
        </w:rPr>
      </w:pPr>
    </w:p>
    <w:p w14:paraId="466D38E5" w14:textId="2EA48126" w:rsidR="003A46D8" w:rsidRPr="00571CEB" w:rsidRDefault="008E2F72" w:rsidP="003A46D8">
      <w:pPr>
        <w:jc w:val="center"/>
        <w:rPr>
          <w:b/>
          <w:bCs/>
          <w:sz w:val="40"/>
          <w:szCs w:val="40"/>
        </w:rPr>
      </w:pPr>
      <w:r w:rsidRPr="00571CEB">
        <w:rPr>
          <w:b/>
          <w:bCs/>
          <w:sz w:val="40"/>
          <w:szCs w:val="40"/>
        </w:rPr>
        <w:t>Snapshot Report 2020/21</w:t>
      </w:r>
    </w:p>
    <w:p w14:paraId="32F06CF7" w14:textId="77777777" w:rsidR="003A46D8" w:rsidRDefault="003A46D8" w:rsidP="003A46D8"/>
    <w:p w14:paraId="4C9113CD" w14:textId="77777777" w:rsidR="003A46D8" w:rsidRDefault="003A46D8" w:rsidP="003A46D8"/>
    <w:p w14:paraId="74B171AB" w14:textId="77777777" w:rsidR="003A46D8" w:rsidRDefault="003A46D8" w:rsidP="003A46D8"/>
    <w:p w14:paraId="566290ED" w14:textId="77777777" w:rsidR="003A46D8" w:rsidRDefault="003A46D8" w:rsidP="003A46D8"/>
    <w:p w14:paraId="1E5EABD7" w14:textId="77777777" w:rsidR="003A46D8" w:rsidRDefault="003A46D8" w:rsidP="003A46D8"/>
    <w:p w14:paraId="30F3257B" w14:textId="77777777" w:rsidR="003A46D8" w:rsidRDefault="003A46D8" w:rsidP="003A46D8"/>
    <w:p w14:paraId="7AF1B95F" w14:textId="77777777" w:rsidR="003A46D8" w:rsidRDefault="003A46D8" w:rsidP="003A46D8"/>
    <w:p w14:paraId="26615B9D" w14:textId="77777777" w:rsidR="003A46D8" w:rsidRDefault="003A46D8" w:rsidP="003A46D8"/>
    <w:p w14:paraId="0004514F" w14:textId="77777777" w:rsidR="003A46D8" w:rsidRDefault="003A46D8" w:rsidP="003A46D8"/>
    <w:p w14:paraId="40AFEAD0" w14:textId="77777777" w:rsidR="003A46D8" w:rsidRDefault="003A46D8" w:rsidP="003A46D8"/>
    <w:p w14:paraId="37D0005C" w14:textId="77777777" w:rsidR="003A46D8" w:rsidRDefault="003A46D8" w:rsidP="003A46D8"/>
    <w:p w14:paraId="41AAA61C" w14:textId="77777777" w:rsidR="003A46D8" w:rsidRDefault="003A46D8" w:rsidP="003A46D8"/>
    <w:p w14:paraId="4AB34E19" w14:textId="77777777" w:rsidR="003A46D8" w:rsidRDefault="003A46D8" w:rsidP="003A46D8"/>
    <w:p w14:paraId="5BC7EB53" w14:textId="77777777" w:rsidR="003A46D8" w:rsidRDefault="003A46D8" w:rsidP="003A46D8"/>
    <w:p w14:paraId="1F9BAB9E" w14:textId="77777777" w:rsidR="003A46D8" w:rsidRDefault="003A46D8" w:rsidP="003A46D8"/>
    <w:p w14:paraId="3213856C" w14:textId="77777777" w:rsidR="003A46D8" w:rsidRDefault="003A46D8" w:rsidP="003A46D8"/>
    <w:p w14:paraId="31F23C7A" w14:textId="77777777" w:rsidR="003A46D8" w:rsidRDefault="003A46D8" w:rsidP="003A46D8"/>
    <w:p w14:paraId="3506EFA9" w14:textId="77777777" w:rsidR="003A46D8" w:rsidRDefault="003A46D8" w:rsidP="003A46D8"/>
    <w:p w14:paraId="6624E9FA" w14:textId="77777777" w:rsidR="003A46D8" w:rsidRDefault="003A46D8" w:rsidP="003A46D8"/>
    <w:p w14:paraId="313115E1" w14:textId="77777777" w:rsidR="003A46D8" w:rsidRDefault="003A46D8" w:rsidP="003A46D8"/>
    <w:p w14:paraId="43212E75" w14:textId="77777777" w:rsidR="003A46D8" w:rsidRDefault="003A46D8" w:rsidP="003A46D8"/>
    <w:p w14:paraId="6B00108C" w14:textId="77777777" w:rsidR="003A46D8" w:rsidRDefault="003A46D8" w:rsidP="003A46D8"/>
    <w:p w14:paraId="17FF0CE0" w14:textId="06ABF8F9" w:rsidR="003A46D8" w:rsidRPr="008B7AA7" w:rsidRDefault="003A46D8" w:rsidP="003A46D8">
      <w:pPr>
        <w:rPr>
          <w:sz w:val="36"/>
          <w:szCs w:val="36"/>
        </w:rPr>
      </w:pPr>
      <w:r w:rsidRPr="008B7AA7">
        <w:rPr>
          <w:b/>
          <w:bCs/>
          <w:sz w:val="36"/>
          <w:szCs w:val="36"/>
        </w:rPr>
        <w:lastRenderedPageBreak/>
        <w:t>About EVAW</w:t>
      </w:r>
    </w:p>
    <w:p w14:paraId="2E9D990F" w14:textId="7B86D477" w:rsidR="003A46D8" w:rsidRPr="008B7AA7" w:rsidRDefault="003A46D8" w:rsidP="003A46D8">
      <w:pPr>
        <w:rPr>
          <w:sz w:val="36"/>
          <w:szCs w:val="36"/>
        </w:rPr>
      </w:pPr>
      <w:r w:rsidRPr="008B7AA7">
        <w:rPr>
          <w:sz w:val="36"/>
          <w:szCs w:val="36"/>
        </w:rPr>
        <w:t xml:space="preserve">The End Violence Against Women Coalition (EVAW) is a leading coalition of </w:t>
      </w:r>
      <w:r w:rsidR="00C16C1A" w:rsidRPr="008B7AA7">
        <w:rPr>
          <w:sz w:val="36"/>
          <w:szCs w:val="36"/>
        </w:rPr>
        <w:t>100</w:t>
      </w:r>
      <w:r w:rsidRPr="008B7AA7">
        <w:rPr>
          <w:sz w:val="36"/>
          <w:szCs w:val="36"/>
        </w:rPr>
        <w:t xml:space="preserve"> specialist women’s support services, researchers, activists, </w:t>
      </w:r>
      <w:r w:rsidR="00CA740A" w:rsidRPr="008B7AA7">
        <w:rPr>
          <w:sz w:val="36"/>
          <w:szCs w:val="36"/>
        </w:rPr>
        <w:t>victim-</w:t>
      </w:r>
      <w:r w:rsidRPr="008B7AA7">
        <w:rPr>
          <w:sz w:val="36"/>
          <w:szCs w:val="36"/>
        </w:rPr>
        <w:t>survivors and NGOs working to end violence against women and girls in all its forms.</w:t>
      </w:r>
    </w:p>
    <w:p w14:paraId="6F05AA51" w14:textId="77777777" w:rsidR="003A46D8" w:rsidRPr="008B7AA7" w:rsidRDefault="003A46D8" w:rsidP="003A46D8">
      <w:pPr>
        <w:rPr>
          <w:sz w:val="36"/>
          <w:szCs w:val="36"/>
        </w:rPr>
      </w:pPr>
    </w:p>
    <w:p w14:paraId="0C926A8A" w14:textId="5E8421D0" w:rsidR="000300EA" w:rsidRPr="008B7AA7" w:rsidRDefault="003A46D8" w:rsidP="003A46D8">
      <w:pPr>
        <w:rPr>
          <w:sz w:val="36"/>
          <w:szCs w:val="36"/>
        </w:rPr>
      </w:pPr>
      <w:r w:rsidRPr="008B7AA7">
        <w:rPr>
          <w:sz w:val="36"/>
          <w:szCs w:val="36"/>
        </w:rPr>
        <w:t>Established in 2005, we campaign for every level of government to adopt better, more joined up approaches to ending and preventing violence against women and girls, and we challenge the wider cultural attitudes that tolerate and condone this abuse.</w:t>
      </w:r>
    </w:p>
    <w:p w14:paraId="4CB94CAE" w14:textId="77777777" w:rsidR="00070FAC" w:rsidRPr="008B7AA7" w:rsidRDefault="00070FAC" w:rsidP="003A46D8">
      <w:pPr>
        <w:rPr>
          <w:sz w:val="36"/>
          <w:szCs w:val="36"/>
        </w:rPr>
      </w:pPr>
    </w:p>
    <w:p w14:paraId="61A7B82B" w14:textId="77777777" w:rsidR="003A46D8" w:rsidRPr="008B7AA7" w:rsidRDefault="003A46D8" w:rsidP="003A46D8">
      <w:pPr>
        <w:rPr>
          <w:sz w:val="36"/>
          <w:szCs w:val="36"/>
        </w:rPr>
      </w:pPr>
    </w:p>
    <w:p w14:paraId="7A513271" w14:textId="72FAB857" w:rsidR="003A46D8" w:rsidRPr="008B7AA7" w:rsidRDefault="003A46D8" w:rsidP="003A46D8">
      <w:pPr>
        <w:rPr>
          <w:b/>
          <w:bCs/>
          <w:sz w:val="36"/>
          <w:szCs w:val="36"/>
        </w:rPr>
      </w:pPr>
      <w:r w:rsidRPr="008B7AA7">
        <w:rPr>
          <w:b/>
          <w:bCs/>
          <w:sz w:val="36"/>
          <w:szCs w:val="36"/>
        </w:rPr>
        <w:t>Acknowledgements</w:t>
      </w:r>
    </w:p>
    <w:p w14:paraId="177EE7F4" w14:textId="2B407E4E" w:rsidR="003A46D8" w:rsidRPr="008B7AA7" w:rsidRDefault="003A46D8" w:rsidP="003A46D8">
      <w:pPr>
        <w:rPr>
          <w:sz w:val="36"/>
          <w:szCs w:val="36"/>
        </w:rPr>
      </w:pPr>
      <w:r w:rsidRPr="008B7AA7">
        <w:rPr>
          <w:sz w:val="36"/>
          <w:szCs w:val="36"/>
        </w:rPr>
        <w:t xml:space="preserve">This report would not have been possible without the </w:t>
      </w:r>
      <w:r w:rsidR="00943EC5" w:rsidRPr="008B7AA7">
        <w:rPr>
          <w:sz w:val="36"/>
          <w:szCs w:val="36"/>
        </w:rPr>
        <w:t xml:space="preserve">published research, </w:t>
      </w:r>
      <w:r w:rsidRPr="008B7AA7">
        <w:rPr>
          <w:sz w:val="36"/>
          <w:szCs w:val="36"/>
        </w:rPr>
        <w:t xml:space="preserve">expertise, knowledge and practice-based evidence of </w:t>
      </w:r>
      <w:r w:rsidR="00943EC5" w:rsidRPr="008B7AA7">
        <w:rPr>
          <w:sz w:val="36"/>
          <w:szCs w:val="36"/>
        </w:rPr>
        <w:t xml:space="preserve">our coalition </w:t>
      </w:r>
      <w:r w:rsidRPr="008B7AA7">
        <w:rPr>
          <w:sz w:val="36"/>
          <w:szCs w:val="36"/>
        </w:rPr>
        <w:t>members</w:t>
      </w:r>
      <w:r w:rsidR="00943EC5" w:rsidRPr="008B7AA7">
        <w:rPr>
          <w:sz w:val="36"/>
          <w:szCs w:val="36"/>
        </w:rPr>
        <w:t>hip</w:t>
      </w:r>
      <w:r w:rsidRPr="008B7AA7">
        <w:rPr>
          <w:sz w:val="36"/>
          <w:szCs w:val="36"/>
        </w:rPr>
        <w:t xml:space="preserve"> and others in the VAWG sector</w:t>
      </w:r>
      <w:r w:rsidR="00943EC5" w:rsidRPr="008B7AA7">
        <w:rPr>
          <w:sz w:val="36"/>
          <w:szCs w:val="36"/>
        </w:rPr>
        <w:t>.</w:t>
      </w:r>
      <w:r w:rsidRPr="008B7AA7">
        <w:rPr>
          <w:sz w:val="36"/>
          <w:szCs w:val="36"/>
        </w:rPr>
        <w:t xml:space="preserve"> </w:t>
      </w:r>
    </w:p>
    <w:p w14:paraId="735D8532" w14:textId="77777777" w:rsidR="003A46D8" w:rsidRPr="008B7AA7" w:rsidRDefault="003A46D8" w:rsidP="003A46D8">
      <w:pPr>
        <w:rPr>
          <w:sz w:val="36"/>
          <w:szCs w:val="36"/>
        </w:rPr>
      </w:pPr>
    </w:p>
    <w:p w14:paraId="65CBD19D" w14:textId="77777777" w:rsidR="003A46D8" w:rsidRPr="008B7AA7" w:rsidRDefault="003A46D8" w:rsidP="003A46D8">
      <w:pPr>
        <w:rPr>
          <w:sz w:val="36"/>
          <w:szCs w:val="36"/>
        </w:rPr>
      </w:pPr>
    </w:p>
    <w:p w14:paraId="0DE1700B" w14:textId="1DBC76AE" w:rsidR="003A46D8" w:rsidRPr="00000BBA" w:rsidRDefault="00000BBA" w:rsidP="003A46D8">
      <w:pPr>
        <w:rPr>
          <w:b/>
          <w:bCs/>
          <w:sz w:val="36"/>
          <w:szCs w:val="36"/>
        </w:rPr>
      </w:pPr>
      <w:r w:rsidRPr="00000BBA">
        <w:rPr>
          <w:b/>
          <w:bCs/>
          <w:sz w:val="36"/>
          <w:szCs w:val="36"/>
        </w:rPr>
        <w:t>Contents</w:t>
      </w:r>
    </w:p>
    <w:p w14:paraId="6221B82B" w14:textId="77777777" w:rsidR="00000BBA" w:rsidRPr="008B7AA7" w:rsidRDefault="00000BBA" w:rsidP="003A46D8">
      <w:pPr>
        <w:rPr>
          <w:sz w:val="36"/>
          <w:szCs w:val="36"/>
        </w:rPr>
      </w:pPr>
    </w:p>
    <w:p w14:paraId="21EED235" w14:textId="05692DAD" w:rsidR="00BF1BA9" w:rsidRDefault="00BF1BA9">
      <w:pPr>
        <w:pStyle w:val="TOC1"/>
        <w:tabs>
          <w:tab w:val="right" w:leader="dot" w:pos="9480"/>
        </w:tabs>
        <w:rPr>
          <w:rFonts w:eastAsiaTheme="minorEastAsia"/>
          <w:noProof/>
          <w:sz w:val="24"/>
          <w:lang w:eastAsia="en-GB"/>
        </w:rPr>
      </w:pPr>
      <w:r>
        <w:rPr>
          <w:szCs w:val="36"/>
        </w:rPr>
        <w:fldChar w:fldCharType="begin"/>
      </w:r>
      <w:r>
        <w:rPr>
          <w:szCs w:val="36"/>
        </w:rPr>
        <w:instrText xml:space="preserve"> TOC \o "1-3" \h \z \u </w:instrText>
      </w:r>
      <w:r>
        <w:rPr>
          <w:szCs w:val="36"/>
        </w:rPr>
        <w:fldChar w:fldCharType="separate"/>
      </w:r>
      <w:hyperlink w:anchor="_Toc63778683" w:history="1">
        <w:r w:rsidRPr="005F27F9">
          <w:rPr>
            <w:rStyle w:val="Hyperlink"/>
            <w:noProof/>
          </w:rPr>
          <w:t>Executive Summary</w:t>
        </w:r>
        <w:r>
          <w:rPr>
            <w:noProof/>
            <w:webHidden/>
          </w:rPr>
          <w:tab/>
        </w:r>
        <w:r>
          <w:rPr>
            <w:noProof/>
            <w:webHidden/>
          </w:rPr>
          <w:fldChar w:fldCharType="begin"/>
        </w:r>
        <w:r>
          <w:rPr>
            <w:noProof/>
            <w:webHidden/>
          </w:rPr>
          <w:instrText xml:space="preserve"> PAGEREF _Toc63778683 \h </w:instrText>
        </w:r>
        <w:r>
          <w:rPr>
            <w:noProof/>
            <w:webHidden/>
          </w:rPr>
        </w:r>
        <w:r>
          <w:rPr>
            <w:noProof/>
            <w:webHidden/>
          </w:rPr>
          <w:fldChar w:fldCharType="separate"/>
        </w:r>
        <w:r>
          <w:rPr>
            <w:noProof/>
            <w:webHidden/>
          </w:rPr>
          <w:t>3</w:t>
        </w:r>
        <w:r>
          <w:rPr>
            <w:noProof/>
            <w:webHidden/>
          </w:rPr>
          <w:fldChar w:fldCharType="end"/>
        </w:r>
      </w:hyperlink>
    </w:p>
    <w:p w14:paraId="6203037C" w14:textId="448F0421" w:rsidR="00BF1BA9" w:rsidRDefault="000F677F">
      <w:pPr>
        <w:pStyle w:val="TOC1"/>
        <w:tabs>
          <w:tab w:val="right" w:leader="dot" w:pos="9480"/>
        </w:tabs>
        <w:rPr>
          <w:rFonts w:eastAsiaTheme="minorEastAsia"/>
          <w:noProof/>
          <w:sz w:val="24"/>
          <w:lang w:eastAsia="en-GB"/>
        </w:rPr>
      </w:pPr>
      <w:hyperlink w:anchor="_Toc63778684" w:history="1">
        <w:r w:rsidR="00BF1BA9" w:rsidRPr="005F27F9">
          <w:rPr>
            <w:rStyle w:val="Hyperlink"/>
            <w:noProof/>
          </w:rPr>
          <w:t>Introduction</w:t>
        </w:r>
        <w:r w:rsidR="00BF1BA9">
          <w:rPr>
            <w:noProof/>
            <w:webHidden/>
          </w:rPr>
          <w:tab/>
        </w:r>
        <w:r w:rsidR="00BF1BA9">
          <w:rPr>
            <w:noProof/>
            <w:webHidden/>
          </w:rPr>
          <w:fldChar w:fldCharType="begin"/>
        </w:r>
        <w:r w:rsidR="00BF1BA9">
          <w:rPr>
            <w:noProof/>
            <w:webHidden/>
          </w:rPr>
          <w:instrText xml:space="preserve"> PAGEREF _Toc63778684 \h </w:instrText>
        </w:r>
        <w:r w:rsidR="00BF1BA9">
          <w:rPr>
            <w:noProof/>
            <w:webHidden/>
          </w:rPr>
        </w:r>
        <w:r w:rsidR="00BF1BA9">
          <w:rPr>
            <w:noProof/>
            <w:webHidden/>
          </w:rPr>
          <w:fldChar w:fldCharType="separate"/>
        </w:r>
        <w:r w:rsidR="00BF1BA9">
          <w:rPr>
            <w:noProof/>
            <w:webHidden/>
          </w:rPr>
          <w:t>5</w:t>
        </w:r>
        <w:r w:rsidR="00BF1BA9">
          <w:rPr>
            <w:noProof/>
            <w:webHidden/>
          </w:rPr>
          <w:fldChar w:fldCharType="end"/>
        </w:r>
      </w:hyperlink>
    </w:p>
    <w:p w14:paraId="28A989C9" w14:textId="149FE868" w:rsidR="00BF1BA9" w:rsidRDefault="000F677F">
      <w:pPr>
        <w:pStyle w:val="TOC1"/>
        <w:tabs>
          <w:tab w:val="right" w:leader="dot" w:pos="9480"/>
        </w:tabs>
        <w:rPr>
          <w:rFonts w:eastAsiaTheme="minorEastAsia"/>
          <w:noProof/>
          <w:sz w:val="24"/>
          <w:lang w:eastAsia="en-GB"/>
        </w:rPr>
      </w:pPr>
      <w:hyperlink w:anchor="_Toc63778685" w:history="1">
        <w:r w:rsidR="00BF1BA9" w:rsidRPr="005F27F9">
          <w:rPr>
            <w:rStyle w:val="Hyperlink"/>
            <w:noProof/>
          </w:rPr>
          <w:t>Recent trends</w:t>
        </w:r>
        <w:r w:rsidR="00BF1BA9">
          <w:rPr>
            <w:noProof/>
            <w:webHidden/>
          </w:rPr>
          <w:tab/>
        </w:r>
        <w:r w:rsidR="00BF1BA9">
          <w:rPr>
            <w:noProof/>
            <w:webHidden/>
          </w:rPr>
          <w:fldChar w:fldCharType="begin"/>
        </w:r>
        <w:r w:rsidR="00BF1BA9">
          <w:rPr>
            <w:noProof/>
            <w:webHidden/>
          </w:rPr>
          <w:instrText xml:space="preserve"> PAGEREF _Toc63778685 \h </w:instrText>
        </w:r>
        <w:r w:rsidR="00BF1BA9">
          <w:rPr>
            <w:noProof/>
            <w:webHidden/>
          </w:rPr>
        </w:r>
        <w:r w:rsidR="00BF1BA9">
          <w:rPr>
            <w:noProof/>
            <w:webHidden/>
          </w:rPr>
          <w:fldChar w:fldCharType="separate"/>
        </w:r>
        <w:r w:rsidR="00BF1BA9">
          <w:rPr>
            <w:noProof/>
            <w:webHidden/>
          </w:rPr>
          <w:t>8</w:t>
        </w:r>
        <w:r w:rsidR="00BF1BA9">
          <w:rPr>
            <w:noProof/>
            <w:webHidden/>
          </w:rPr>
          <w:fldChar w:fldCharType="end"/>
        </w:r>
      </w:hyperlink>
    </w:p>
    <w:p w14:paraId="0B17A06A" w14:textId="64F40A3E" w:rsidR="00BF1BA9" w:rsidRDefault="000F677F">
      <w:pPr>
        <w:pStyle w:val="TOC1"/>
        <w:tabs>
          <w:tab w:val="right" w:leader="dot" w:pos="9480"/>
        </w:tabs>
        <w:rPr>
          <w:rFonts w:eastAsiaTheme="minorEastAsia"/>
          <w:noProof/>
          <w:sz w:val="24"/>
          <w:lang w:eastAsia="en-GB"/>
        </w:rPr>
      </w:pPr>
      <w:hyperlink w:anchor="_Toc63778686" w:history="1">
        <w:r w:rsidR="00BF1BA9" w:rsidRPr="005F27F9">
          <w:rPr>
            <w:rStyle w:val="Hyperlink"/>
            <w:noProof/>
            <w:lang w:eastAsia="en-GB"/>
          </w:rPr>
          <w:t>Key Policy Developments</w:t>
        </w:r>
        <w:r w:rsidR="00BF1BA9">
          <w:rPr>
            <w:noProof/>
            <w:webHidden/>
          </w:rPr>
          <w:tab/>
        </w:r>
        <w:r w:rsidR="00BF1BA9">
          <w:rPr>
            <w:noProof/>
            <w:webHidden/>
          </w:rPr>
          <w:fldChar w:fldCharType="begin"/>
        </w:r>
        <w:r w:rsidR="00BF1BA9">
          <w:rPr>
            <w:noProof/>
            <w:webHidden/>
          </w:rPr>
          <w:instrText xml:space="preserve"> PAGEREF _Toc63778686 \h </w:instrText>
        </w:r>
        <w:r w:rsidR="00BF1BA9">
          <w:rPr>
            <w:noProof/>
            <w:webHidden/>
          </w:rPr>
        </w:r>
        <w:r w:rsidR="00BF1BA9">
          <w:rPr>
            <w:noProof/>
            <w:webHidden/>
          </w:rPr>
          <w:fldChar w:fldCharType="separate"/>
        </w:r>
        <w:r w:rsidR="00BF1BA9">
          <w:rPr>
            <w:noProof/>
            <w:webHidden/>
          </w:rPr>
          <w:t>21</w:t>
        </w:r>
        <w:r w:rsidR="00BF1BA9">
          <w:rPr>
            <w:noProof/>
            <w:webHidden/>
          </w:rPr>
          <w:fldChar w:fldCharType="end"/>
        </w:r>
      </w:hyperlink>
    </w:p>
    <w:p w14:paraId="2471C56C" w14:textId="38DCEFFF" w:rsidR="00BF1BA9" w:rsidRDefault="000F677F">
      <w:pPr>
        <w:pStyle w:val="TOC1"/>
        <w:tabs>
          <w:tab w:val="right" w:leader="dot" w:pos="9480"/>
        </w:tabs>
        <w:rPr>
          <w:rFonts w:eastAsiaTheme="minorEastAsia"/>
          <w:noProof/>
          <w:sz w:val="24"/>
          <w:lang w:eastAsia="en-GB"/>
        </w:rPr>
      </w:pPr>
      <w:hyperlink w:anchor="_Toc63778687" w:history="1">
        <w:r w:rsidR="00BF1BA9" w:rsidRPr="005F27F9">
          <w:rPr>
            <w:rStyle w:val="Hyperlink"/>
            <w:noProof/>
          </w:rPr>
          <w:t>Recommendations</w:t>
        </w:r>
        <w:r w:rsidR="00BF1BA9">
          <w:rPr>
            <w:noProof/>
            <w:webHidden/>
          </w:rPr>
          <w:tab/>
        </w:r>
        <w:r w:rsidR="00BF1BA9">
          <w:rPr>
            <w:noProof/>
            <w:webHidden/>
          </w:rPr>
          <w:fldChar w:fldCharType="begin"/>
        </w:r>
        <w:r w:rsidR="00BF1BA9">
          <w:rPr>
            <w:noProof/>
            <w:webHidden/>
          </w:rPr>
          <w:instrText xml:space="preserve"> PAGEREF _Toc63778687 \h </w:instrText>
        </w:r>
        <w:r w:rsidR="00BF1BA9">
          <w:rPr>
            <w:noProof/>
            <w:webHidden/>
          </w:rPr>
        </w:r>
        <w:r w:rsidR="00BF1BA9">
          <w:rPr>
            <w:noProof/>
            <w:webHidden/>
          </w:rPr>
          <w:fldChar w:fldCharType="separate"/>
        </w:r>
        <w:r w:rsidR="00BF1BA9">
          <w:rPr>
            <w:noProof/>
            <w:webHidden/>
          </w:rPr>
          <w:t>29</w:t>
        </w:r>
        <w:r w:rsidR="00BF1BA9">
          <w:rPr>
            <w:noProof/>
            <w:webHidden/>
          </w:rPr>
          <w:fldChar w:fldCharType="end"/>
        </w:r>
      </w:hyperlink>
    </w:p>
    <w:p w14:paraId="7174872B" w14:textId="3BAF7B94" w:rsidR="00047F7C" w:rsidRPr="008B7AA7" w:rsidRDefault="00BF1BA9" w:rsidP="003A46D8">
      <w:pPr>
        <w:rPr>
          <w:sz w:val="36"/>
          <w:szCs w:val="36"/>
        </w:rPr>
      </w:pPr>
      <w:r>
        <w:rPr>
          <w:sz w:val="36"/>
          <w:szCs w:val="36"/>
        </w:rPr>
        <w:fldChar w:fldCharType="end"/>
      </w:r>
    </w:p>
    <w:p w14:paraId="0D722A98" w14:textId="17C02A61" w:rsidR="00070FAC" w:rsidRDefault="00070FAC" w:rsidP="003A46D8">
      <w:pPr>
        <w:rPr>
          <w:sz w:val="36"/>
          <w:szCs w:val="36"/>
        </w:rPr>
      </w:pPr>
    </w:p>
    <w:p w14:paraId="6469A5DA" w14:textId="26AE91AF" w:rsidR="005F4712" w:rsidRPr="00D82F52" w:rsidRDefault="00070FAC">
      <w:pPr>
        <w:rPr>
          <w:sz w:val="36"/>
          <w:szCs w:val="36"/>
        </w:rPr>
      </w:pPr>
      <w:r w:rsidRPr="008B7AA7">
        <w:rPr>
          <w:sz w:val="36"/>
          <w:szCs w:val="36"/>
        </w:rPr>
        <w:t>The EVAW Coalition is a company limited by guarantee (no. 7317881) and a registered charity (no. 1161132). </w:t>
      </w:r>
      <w:r w:rsidR="005F4712">
        <w:rPr>
          <w:b/>
          <w:bCs/>
          <w:sz w:val="40"/>
          <w:szCs w:val="40"/>
        </w:rPr>
        <w:br w:type="page"/>
      </w:r>
    </w:p>
    <w:p w14:paraId="08503639" w14:textId="53A462A8" w:rsidR="009C08E1" w:rsidRPr="00BF1BA9" w:rsidRDefault="009C08E1" w:rsidP="00BF1BA9">
      <w:pPr>
        <w:pStyle w:val="Heading1"/>
      </w:pPr>
      <w:bookmarkStart w:id="1" w:name="_Toc63778683"/>
      <w:r w:rsidRPr="00BF1BA9">
        <w:lastRenderedPageBreak/>
        <w:t>Executive Summary</w:t>
      </w:r>
      <w:bookmarkEnd w:id="1"/>
    </w:p>
    <w:p w14:paraId="083CEA0C" w14:textId="77777777" w:rsidR="009C08E1" w:rsidRPr="008B7AA7" w:rsidRDefault="009C08E1" w:rsidP="009C08E1">
      <w:pPr>
        <w:rPr>
          <w:sz w:val="36"/>
          <w:szCs w:val="36"/>
        </w:rPr>
      </w:pPr>
    </w:p>
    <w:p w14:paraId="23EB90D3" w14:textId="753A8BAB" w:rsidR="009C08E1" w:rsidRPr="008B7AA7" w:rsidRDefault="009C08E1" w:rsidP="009C08E1">
      <w:pPr>
        <w:rPr>
          <w:sz w:val="36"/>
          <w:szCs w:val="36"/>
        </w:rPr>
      </w:pPr>
      <w:r w:rsidRPr="008B7AA7">
        <w:rPr>
          <w:sz w:val="36"/>
          <w:szCs w:val="36"/>
        </w:rPr>
        <w:t xml:space="preserve">This report sets out the state of violence against women and girls (VAWG) </w:t>
      </w:r>
      <w:r w:rsidR="00D61CF5" w:rsidRPr="008B7AA7">
        <w:rPr>
          <w:sz w:val="36"/>
          <w:szCs w:val="36"/>
        </w:rPr>
        <w:t xml:space="preserve">as of January 2021 </w:t>
      </w:r>
      <w:r w:rsidRPr="008B7AA7">
        <w:rPr>
          <w:sz w:val="36"/>
          <w:szCs w:val="36"/>
        </w:rPr>
        <w:t>and what we know about prevalence and the policy landscape o</w:t>
      </w:r>
      <w:r w:rsidR="002715FD" w:rsidRPr="008B7AA7">
        <w:rPr>
          <w:sz w:val="36"/>
          <w:szCs w:val="36"/>
        </w:rPr>
        <w:t>f</w:t>
      </w:r>
      <w:r w:rsidRPr="008B7AA7">
        <w:rPr>
          <w:sz w:val="36"/>
          <w:szCs w:val="36"/>
        </w:rPr>
        <w:t xml:space="preserve"> this issue.</w:t>
      </w:r>
    </w:p>
    <w:p w14:paraId="1F1FA68D" w14:textId="77777777" w:rsidR="009C08E1" w:rsidRPr="008B7AA7" w:rsidRDefault="009C08E1" w:rsidP="009C08E1">
      <w:pPr>
        <w:rPr>
          <w:sz w:val="36"/>
          <w:szCs w:val="36"/>
        </w:rPr>
      </w:pPr>
    </w:p>
    <w:p w14:paraId="0A0254A0" w14:textId="77777777" w:rsidR="00D61CF5" w:rsidRPr="008B7AA7" w:rsidRDefault="009C08E1" w:rsidP="009C08E1">
      <w:pPr>
        <w:rPr>
          <w:sz w:val="36"/>
          <w:szCs w:val="36"/>
        </w:rPr>
      </w:pPr>
      <w:r w:rsidRPr="008B7AA7">
        <w:rPr>
          <w:sz w:val="36"/>
          <w:szCs w:val="36"/>
        </w:rPr>
        <w:t xml:space="preserve">We have drawn on the latest Government statistics, research and insight from specialist VAWG sector </w:t>
      </w:r>
      <w:r w:rsidR="00D61CF5" w:rsidRPr="008B7AA7">
        <w:rPr>
          <w:sz w:val="36"/>
          <w:szCs w:val="36"/>
        </w:rPr>
        <w:t xml:space="preserve">organisations and researchers </w:t>
      </w:r>
      <w:r w:rsidRPr="008B7AA7">
        <w:rPr>
          <w:sz w:val="36"/>
          <w:szCs w:val="36"/>
        </w:rPr>
        <w:t xml:space="preserve">to highlight the extent of VAWG to pull together a snapshot of VAWG over the past year. </w:t>
      </w:r>
    </w:p>
    <w:p w14:paraId="56D11FFB" w14:textId="4FE7C03D" w:rsidR="00D61CF5" w:rsidRPr="008B7AA7" w:rsidRDefault="00D61CF5" w:rsidP="009C08E1">
      <w:pPr>
        <w:rPr>
          <w:sz w:val="36"/>
          <w:szCs w:val="36"/>
        </w:rPr>
      </w:pPr>
    </w:p>
    <w:p w14:paraId="28E20CB3" w14:textId="092B43C5" w:rsidR="00D61CF5" w:rsidRPr="008B7AA7" w:rsidRDefault="00D61CF5" w:rsidP="00D61CF5">
      <w:pPr>
        <w:rPr>
          <w:sz w:val="36"/>
          <w:szCs w:val="36"/>
        </w:rPr>
      </w:pPr>
      <w:r w:rsidRPr="008B7AA7">
        <w:rPr>
          <w:sz w:val="36"/>
          <w:szCs w:val="36"/>
        </w:rPr>
        <w:t xml:space="preserve">In order to properly understand the experiences of women and girls during this period it is vital to consider the impact of violence against women and girls alongside intersecting inequalities, </w:t>
      </w:r>
      <w:r w:rsidR="003C6216" w:rsidRPr="008B7AA7">
        <w:rPr>
          <w:sz w:val="36"/>
          <w:szCs w:val="36"/>
        </w:rPr>
        <w:t xml:space="preserve">and </w:t>
      </w:r>
      <w:r w:rsidRPr="008B7AA7">
        <w:rPr>
          <w:sz w:val="36"/>
          <w:szCs w:val="36"/>
        </w:rPr>
        <w:t xml:space="preserve">the global Coronavirus pandemic </w:t>
      </w:r>
      <w:r w:rsidR="003C6216" w:rsidRPr="008B7AA7">
        <w:rPr>
          <w:sz w:val="36"/>
          <w:szCs w:val="36"/>
        </w:rPr>
        <w:t xml:space="preserve">which </w:t>
      </w:r>
      <w:r w:rsidRPr="008B7AA7">
        <w:rPr>
          <w:sz w:val="36"/>
          <w:szCs w:val="36"/>
        </w:rPr>
        <w:t>has “landed on top of” and exacerbated these inequalities.</w:t>
      </w:r>
    </w:p>
    <w:p w14:paraId="26369D56" w14:textId="77777777" w:rsidR="009C08E1" w:rsidRPr="008B7AA7" w:rsidRDefault="009C08E1" w:rsidP="009C08E1">
      <w:pPr>
        <w:rPr>
          <w:sz w:val="36"/>
          <w:szCs w:val="36"/>
        </w:rPr>
      </w:pPr>
    </w:p>
    <w:p w14:paraId="183EAA36" w14:textId="77777777" w:rsidR="009C08E1" w:rsidRPr="008B7AA7" w:rsidRDefault="009C08E1" w:rsidP="009C08E1">
      <w:pPr>
        <w:rPr>
          <w:sz w:val="36"/>
          <w:szCs w:val="36"/>
        </w:rPr>
      </w:pPr>
      <w:r w:rsidRPr="008B7AA7">
        <w:rPr>
          <w:sz w:val="36"/>
          <w:szCs w:val="36"/>
        </w:rPr>
        <w:t>Ahead of the launch of a new VAWG Strategy, we aim to outline in this report, the extent of VAWG and the connections between different forms of violence that pervade women’s lives. Furthermore, we set out key recommendations for addressing this violence:</w:t>
      </w:r>
    </w:p>
    <w:p w14:paraId="48BE72D9" w14:textId="45D6B269" w:rsidR="009C08E1" w:rsidRPr="008B7AA7" w:rsidRDefault="009C08E1" w:rsidP="009C08E1">
      <w:pPr>
        <w:rPr>
          <w:sz w:val="36"/>
          <w:szCs w:val="36"/>
        </w:rPr>
      </w:pPr>
    </w:p>
    <w:p w14:paraId="220F9864" w14:textId="77777777" w:rsidR="003C6216" w:rsidRPr="008B7AA7" w:rsidRDefault="003C6216" w:rsidP="003C2D4E">
      <w:pPr>
        <w:pStyle w:val="ListParagraph"/>
        <w:numPr>
          <w:ilvl w:val="0"/>
          <w:numId w:val="2"/>
        </w:numPr>
        <w:ind w:left="709" w:hanging="709"/>
        <w:rPr>
          <w:b/>
          <w:bCs/>
          <w:sz w:val="36"/>
          <w:szCs w:val="36"/>
        </w:rPr>
      </w:pPr>
      <w:r w:rsidRPr="008B7AA7">
        <w:rPr>
          <w:b/>
          <w:bCs/>
          <w:sz w:val="36"/>
          <w:szCs w:val="36"/>
        </w:rPr>
        <w:t>A single, joined-up Violence Against Women and Girls Strategy</w:t>
      </w:r>
    </w:p>
    <w:p w14:paraId="3D6210B4" w14:textId="7FAC57C2" w:rsidR="003C6216" w:rsidRDefault="003C6216" w:rsidP="003C2D4E">
      <w:pPr>
        <w:ind w:left="709"/>
        <w:rPr>
          <w:rFonts w:ascii="Calibri" w:eastAsia="Times New Roman" w:hAnsi="Calibri" w:cs="Calibri"/>
          <w:sz w:val="36"/>
          <w:szCs w:val="36"/>
          <w:lang w:eastAsia="en-GB"/>
        </w:rPr>
      </w:pPr>
      <w:r w:rsidRPr="008B7AA7">
        <w:rPr>
          <w:rFonts w:ascii="Calibri" w:eastAsia="Times New Roman" w:hAnsi="Calibri" w:cs="Calibri"/>
          <w:sz w:val="36"/>
          <w:szCs w:val="36"/>
          <w:lang w:eastAsia="en-GB"/>
        </w:rPr>
        <w:t xml:space="preserve">A holistic VAWG strategy and framework, which is a high Government priority, championed by Ministers, and well-funded. </w:t>
      </w:r>
    </w:p>
    <w:p w14:paraId="6E9A75F1" w14:textId="77777777" w:rsidR="001C2CD5" w:rsidRPr="008B7AA7" w:rsidRDefault="001C2CD5" w:rsidP="00B73B41">
      <w:pPr>
        <w:pStyle w:val="ListParagraph"/>
        <w:numPr>
          <w:ilvl w:val="0"/>
          <w:numId w:val="2"/>
        </w:numPr>
        <w:ind w:left="709" w:hanging="709"/>
        <w:rPr>
          <w:b/>
          <w:bCs/>
          <w:sz w:val="36"/>
          <w:szCs w:val="36"/>
        </w:rPr>
      </w:pPr>
      <w:r w:rsidRPr="008B7AA7">
        <w:rPr>
          <w:b/>
          <w:bCs/>
          <w:sz w:val="36"/>
          <w:szCs w:val="36"/>
        </w:rPr>
        <w:t xml:space="preserve">A Strategic Investment to End Abuse </w:t>
      </w:r>
    </w:p>
    <w:p w14:paraId="70AE472A" w14:textId="5DA54097" w:rsidR="001C2CD5" w:rsidRPr="008B7AA7" w:rsidRDefault="001C2CD5" w:rsidP="00B73B41">
      <w:pPr>
        <w:ind w:left="709"/>
        <w:rPr>
          <w:rFonts w:ascii="Calibri" w:eastAsia="Times New Roman" w:hAnsi="Calibri" w:cs="Calibri"/>
          <w:sz w:val="36"/>
          <w:szCs w:val="36"/>
          <w:lang w:eastAsia="en-GB"/>
        </w:rPr>
      </w:pPr>
      <w:r w:rsidRPr="00BD133E">
        <w:rPr>
          <w:rFonts w:ascii="Calibri" w:eastAsia="Times New Roman" w:hAnsi="Calibri" w:cs="Calibri"/>
          <w:sz w:val="36"/>
          <w:szCs w:val="36"/>
          <w:lang w:eastAsia="en-GB"/>
        </w:rPr>
        <w:t xml:space="preserve">In order to deliver the life-saving work that helps thousands of women and girls every day, the VAWG sector needs long-term, sustainable funding, including ring-fenced funding for “by and for” services. </w:t>
      </w:r>
    </w:p>
    <w:p w14:paraId="11AFA60A" w14:textId="77777777" w:rsidR="001C2CD5" w:rsidRPr="008B7AA7" w:rsidRDefault="001C2CD5" w:rsidP="002A12F5">
      <w:pPr>
        <w:rPr>
          <w:rFonts w:ascii="Calibri" w:eastAsia="Times New Roman" w:hAnsi="Calibri" w:cs="Calibri"/>
          <w:sz w:val="36"/>
          <w:szCs w:val="36"/>
          <w:lang w:eastAsia="en-GB"/>
        </w:rPr>
      </w:pPr>
    </w:p>
    <w:p w14:paraId="76278D6C" w14:textId="77777777" w:rsidR="003C6216" w:rsidRPr="008B7AA7" w:rsidRDefault="003C6216" w:rsidP="003C2D4E">
      <w:pPr>
        <w:pStyle w:val="ListParagraph"/>
        <w:numPr>
          <w:ilvl w:val="0"/>
          <w:numId w:val="2"/>
        </w:numPr>
        <w:spacing w:before="120"/>
        <w:ind w:left="709" w:hanging="709"/>
        <w:contextualSpacing w:val="0"/>
        <w:rPr>
          <w:b/>
          <w:bCs/>
          <w:sz w:val="36"/>
          <w:szCs w:val="36"/>
        </w:rPr>
      </w:pPr>
      <w:r w:rsidRPr="008B7AA7">
        <w:rPr>
          <w:b/>
          <w:bCs/>
          <w:sz w:val="36"/>
          <w:szCs w:val="36"/>
        </w:rPr>
        <w:t xml:space="preserve">Far-ranging reform to the Criminal Justice System’s approach to Sexual Violence </w:t>
      </w:r>
    </w:p>
    <w:p w14:paraId="298666C9" w14:textId="27ABC1BD" w:rsidR="002715FD" w:rsidRPr="00BD133E" w:rsidRDefault="003C6216" w:rsidP="003C2D4E">
      <w:pPr>
        <w:ind w:left="709"/>
        <w:rPr>
          <w:rFonts w:ascii="Calibri" w:eastAsia="Times New Roman" w:hAnsi="Calibri" w:cs="Calibri"/>
          <w:sz w:val="36"/>
          <w:szCs w:val="36"/>
          <w:lang w:eastAsia="en-GB"/>
        </w:rPr>
      </w:pPr>
      <w:r w:rsidRPr="00BD133E">
        <w:rPr>
          <w:rFonts w:ascii="Calibri" w:eastAsia="Times New Roman" w:hAnsi="Calibri" w:cs="Calibri"/>
          <w:sz w:val="36"/>
          <w:szCs w:val="36"/>
          <w:lang w:eastAsia="en-GB"/>
        </w:rPr>
        <w:t xml:space="preserve">Extensive reforms to the police, </w:t>
      </w:r>
      <w:r w:rsidR="001C2CD5" w:rsidRPr="00BD133E">
        <w:rPr>
          <w:rFonts w:ascii="Calibri" w:eastAsia="Times New Roman" w:hAnsi="Calibri" w:cs="Calibri"/>
          <w:sz w:val="36"/>
          <w:szCs w:val="36"/>
          <w:lang w:eastAsia="en-GB"/>
        </w:rPr>
        <w:t>C</w:t>
      </w:r>
      <w:r w:rsidR="001C2CD5">
        <w:rPr>
          <w:rFonts w:ascii="Calibri" w:eastAsia="Times New Roman" w:hAnsi="Calibri" w:cs="Calibri"/>
          <w:sz w:val="36"/>
          <w:szCs w:val="36"/>
          <w:lang w:eastAsia="en-GB"/>
        </w:rPr>
        <w:t>riminal Prosecution Service (C</w:t>
      </w:r>
      <w:r w:rsidR="001C2CD5" w:rsidRPr="00BD133E">
        <w:rPr>
          <w:rFonts w:ascii="Calibri" w:eastAsia="Times New Roman" w:hAnsi="Calibri" w:cs="Calibri"/>
          <w:sz w:val="36"/>
          <w:szCs w:val="36"/>
          <w:lang w:eastAsia="en-GB"/>
        </w:rPr>
        <w:t>PS</w:t>
      </w:r>
      <w:r w:rsidR="001C2CD5">
        <w:rPr>
          <w:rFonts w:ascii="Calibri" w:eastAsia="Times New Roman" w:hAnsi="Calibri" w:cs="Calibri"/>
          <w:sz w:val="36"/>
          <w:szCs w:val="36"/>
          <w:lang w:eastAsia="en-GB"/>
        </w:rPr>
        <w:t>)</w:t>
      </w:r>
      <w:r w:rsidR="002A12F5">
        <w:rPr>
          <w:rFonts w:ascii="Calibri" w:eastAsia="Times New Roman" w:hAnsi="Calibri" w:cs="Calibri"/>
          <w:sz w:val="36"/>
          <w:szCs w:val="36"/>
          <w:lang w:eastAsia="en-GB"/>
        </w:rPr>
        <w:t xml:space="preserve"> </w:t>
      </w:r>
      <w:r w:rsidRPr="00BD133E">
        <w:rPr>
          <w:rFonts w:ascii="Calibri" w:eastAsia="Times New Roman" w:hAnsi="Calibri" w:cs="Calibri"/>
          <w:sz w:val="36"/>
          <w:szCs w:val="36"/>
          <w:lang w:eastAsia="en-GB"/>
        </w:rPr>
        <w:t>and courts, improved leadership and accountability, wraparound support and advocacy for all victim-survivors and ensuring access to justice for all.</w:t>
      </w:r>
    </w:p>
    <w:p w14:paraId="62563543" w14:textId="77777777" w:rsidR="003C6216" w:rsidRPr="008B7AA7" w:rsidRDefault="003C6216" w:rsidP="003C2D4E">
      <w:pPr>
        <w:pStyle w:val="ListParagraph"/>
        <w:numPr>
          <w:ilvl w:val="0"/>
          <w:numId w:val="2"/>
        </w:numPr>
        <w:spacing w:before="120"/>
        <w:ind w:left="709" w:hanging="709"/>
        <w:contextualSpacing w:val="0"/>
        <w:rPr>
          <w:b/>
          <w:bCs/>
          <w:sz w:val="36"/>
          <w:szCs w:val="36"/>
        </w:rPr>
      </w:pPr>
      <w:r w:rsidRPr="008B7AA7">
        <w:rPr>
          <w:b/>
          <w:bCs/>
          <w:sz w:val="36"/>
          <w:szCs w:val="36"/>
        </w:rPr>
        <w:t>Effective Protection and Support from Domestic Abuse for All</w:t>
      </w:r>
    </w:p>
    <w:p w14:paraId="412C436E" w14:textId="23D721CB" w:rsidR="003C6216" w:rsidRPr="00BD133E" w:rsidRDefault="003C6216" w:rsidP="003C2D4E">
      <w:pPr>
        <w:ind w:left="709"/>
        <w:rPr>
          <w:rFonts w:ascii="Calibri" w:eastAsia="Times New Roman" w:hAnsi="Calibri" w:cs="Calibri"/>
          <w:sz w:val="36"/>
          <w:szCs w:val="36"/>
          <w:lang w:eastAsia="en-GB"/>
        </w:rPr>
      </w:pPr>
      <w:r w:rsidRPr="00BD133E">
        <w:rPr>
          <w:rFonts w:ascii="Calibri" w:eastAsia="Times New Roman" w:hAnsi="Calibri" w:cs="Calibri"/>
          <w:sz w:val="36"/>
          <w:szCs w:val="36"/>
          <w:lang w:eastAsia="en-GB"/>
        </w:rPr>
        <w:t xml:space="preserve">A Domestic Abuse Bill that addresses the barriers to support currently facing migrant women. </w:t>
      </w:r>
    </w:p>
    <w:p w14:paraId="5A23B198" w14:textId="77777777" w:rsidR="003C6216" w:rsidRPr="0035395D" w:rsidRDefault="003C6216" w:rsidP="003C2D4E">
      <w:pPr>
        <w:pStyle w:val="ListParagraph"/>
        <w:numPr>
          <w:ilvl w:val="0"/>
          <w:numId w:val="2"/>
        </w:numPr>
        <w:spacing w:before="120"/>
        <w:ind w:left="709" w:hanging="709"/>
        <w:contextualSpacing w:val="0"/>
        <w:rPr>
          <w:b/>
          <w:bCs/>
          <w:sz w:val="36"/>
          <w:szCs w:val="36"/>
        </w:rPr>
      </w:pPr>
      <w:r w:rsidRPr="0035395D">
        <w:rPr>
          <w:b/>
          <w:bCs/>
          <w:sz w:val="36"/>
          <w:szCs w:val="36"/>
        </w:rPr>
        <w:t>A comprehensive public health approach to tackling Online Abuse</w:t>
      </w:r>
    </w:p>
    <w:p w14:paraId="65F35B9F" w14:textId="0F382285" w:rsidR="003C6216" w:rsidRPr="00BD133E" w:rsidRDefault="003C6216" w:rsidP="003C2D4E">
      <w:pPr>
        <w:ind w:left="709"/>
        <w:rPr>
          <w:rFonts w:ascii="Calibri" w:eastAsia="Times New Roman" w:hAnsi="Calibri" w:cs="Calibri"/>
          <w:sz w:val="36"/>
          <w:szCs w:val="36"/>
          <w:lang w:eastAsia="en-GB"/>
        </w:rPr>
      </w:pPr>
      <w:r w:rsidRPr="008B7AA7">
        <w:rPr>
          <w:rFonts w:ascii="Calibri" w:eastAsia="Times New Roman" w:hAnsi="Calibri" w:cs="Calibri"/>
          <w:sz w:val="36"/>
          <w:szCs w:val="36"/>
          <w:lang w:eastAsia="en-GB"/>
        </w:rPr>
        <w:t xml:space="preserve">A comprehensive public health approach to tackling online abuse, including </w:t>
      </w:r>
      <w:r w:rsidRPr="00BD133E">
        <w:rPr>
          <w:rFonts w:ascii="Calibri" w:eastAsia="Times New Roman" w:hAnsi="Calibri" w:cs="Calibri"/>
          <w:sz w:val="36"/>
          <w:szCs w:val="36"/>
          <w:lang w:eastAsia="en-GB"/>
        </w:rPr>
        <w:t>ensuring the</w:t>
      </w:r>
      <w:r w:rsidRPr="008B7AA7">
        <w:rPr>
          <w:rFonts w:ascii="Calibri" w:eastAsia="Times New Roman" w:hAnsi="Calibri" w:cs="Calibri"/>
          <w:sz w:val="36"/>
          <w:szCs w:val="36"/>
          <w:lang w:eastAsia="en-GB"/>
        </w:rPr>
        <w:t xml:space="preserve"> </w:t>
      </w:r>
      <w:r w:rsidRPr="00BD133E">
        <w:rPr>
          <w:rFonts w:ascii="Calibri" w:eastAsia="Times New Roman" w:hAnsi="Calibri" w:cs="Calibri"/>
          <w:sz w:val="36"/>
          <w:szCs w:val="36"/>
          <w:lang w:eastAsia="en-GB"/>
        </w:rPr>
        <w:t>Online Harms Bill adequately addresses the specific risks that Black and minoritised women face online.</w:t>
      </w:r>
    </w:p>
    <w:p w14:paraId="53EAD095" w14:textId="77777777" w:rsidR="003C6216" w:rsidRPr="008B7AA7" w:rsidRDefault="003C6216" w:rsidP="003C2D4E">
      <w:pPr>
        <w:pStyle w:val="ListParagraph"/>
        <w:numPr>
          <w:ilvl w:val="0"/>
          <w:numId w:val="2"/>
        </w:numPr>
        <w:spacing w:before="120"/>
        <w:ind w:left="709" w:hanging="709"/>
        <w:contextualSpacing w:val="0"/>
        <w:rPr>
          <w:b/>
          <w:bCs/>
          <w:sz w:val="36"/>
          <w:szCs w:val="36"/>
        </w:rPr>
      </w:pPr>
      <w:r w:rsidRPr="008B7AA7">
        <w:rPr>
          <w:b/>
          <w:bCs/>
          <w:sz w:val="36"/>
          <w:szCs w:val="36"/>
        </w:rPr>
        <w:t>Support for schools to implement RSE and “Whole School Approach”</w:t>
      </w:r>
    </w:p>
    <w:p w14:paraId="1D3034CE" w14:textId="7790FD83" w:rsidR="003C6216" w:rsidRPr="00BD133E" w:rsidRDefault="003C6216" w:rsidP="003C2D4E">
      <w:pPr>
        <w:ind w:left="709"/>
        <w:rPr>
          <w:rFonts w:ascii="Calibri" w:eastAsia="Times New Roman" w:hAnsi="Calibri" w:cs="Calibri"/>
          <w:sz w:val="36"/>
          <w:szCs w:val="36"/>
          <w:lang w:eastAsia="en-GB"/>
        </w:rPr>
      </w:pPr>
      <w:r w:rsidRPr="00BD133E">
        <w:rPr>
          <w:rFonts w:ascii="Calibri" w:eastAsia="Times New Roman" w:hAnsi="Calibri" w:cs="Calibri"/>
          <w:sz w:val="36"/>
          <w:szCs w:val="36"/>
          <w:lang w:eastAsia="en-GB"/>
        </w:rPr>
        <w:t>The Department for Education (DfE) should support schools so that there is no further delay to the compulsory rollout of RSE and so schools can implement a ‘Whole School Approach’.</w:t>
      </w:r>
    </w:p>
    <w:p w14:paraId="5D66824C" w14:textId="77777777" w:rsidR="003C6216" w:rsidRPr="008B7AA7" w:rsidRDefault="003C6216" w:rsidP="003C2D4E">
      <w:pPr>
        <w:pStyle w:val="ListParagraph"/>
        <w:numPr>
          <w:ilvl w:val="0"/>
          <w:numId w:val="2"/>
        </w:numPr>
        <w:spacing w:before="120"/>
        <w:ind w:left="709" w:hanging="709"/>
        <w:contextualSpacing w:val="0"/>
        <w:rPr>
          <w:b/>
          <w:bCs/>
          <w:sz w:val="36"/>
          <w:szCs w:val="36"/>
        </w:rPr>
      </w:pPr>
      <w:r w:rsidRPr="008B7AA7">
        <w:rPr>
          <w:b/>
          <w:bCs/>
          <w:sz w:val="36"/>
          <w:szCs w:val="36"/>
        </w:rPr>
        <w:t xml:space="preserve">A Perpetrators Strategy for all </w:t>
      </w:r>
    </w:p>
    <w:p w14:paraId="1252B032" w14:textId="105A8972" w:rsidR="003C6216" w:rsidRPr="00BD133E" w:rsidRDefault="003C6216" w:rsidP="003C2D4E">
      <w:pPr>
        <w:ind w:left="709"/>
        <w:rPr>
          <w:rFonts w:ascii="Calibri" w:eastAsia="Times New Roman" w:hAnsi="Calibri" w:cs="Calibri"/>
          <w:sz w:val="36"/>
          <w:szCs w:val="36"/>
          <w:lang w:eastAsia="en-GB"/>
        </w:rPr>
      </w:pPr>
      <w:r w:rsidRPr="00BD133E">
        <w:rPr>
          <w:rFonts w:ascii="Calibri" w:eastAsia="Times New Roman" w:hAnsi="Calibri" w:cs="Calibri"/>
          <w:sz w:val="36"/>
          <w:szCs w:val="36"/>
          <w:lang w:eastAsia="en-GB"/>
        </w:rPr>
        <w:t xml:space="preserve">A national strategy on perpetrators that properly resources interventions to address abusive behaviour. </w:t>
      </w:r>
    </w:p>
    <w:p w14:paraId="447D04FD" w14:textId="77777777" w:rsidR="002715FD" w:rsidRPr="008B7AA7" w:rsidRDefault="002715FD" w:rsidP="00BD133E">
      <w:pPr>
        <w:ind w:left="360"/>
        <w:rPr>
          <w:sz w:val="36"/>
          <w:szCs w:val="36"/>
        </w:rPr>
      </w:pPr>
    </w:p>
    <w:p w14:paraId="486060CD" w14:textId="77777777" w:rsidR="0035395D" w:rsidRDefault="0035395D">
      <w:pPr>
        <w:rPr>
          <w:b/>
          <w:bCs/>
          <w:sz w:val="40"/>
          <w:szCs w:val="40"/>
        </w:rPr>
      </w:pPr>
      <w:r>
        <w:rPr>
          <w:b/>
          <w:bCs/>
          <w:sz w:val="40"/>
          <w:szCs w:val="40"/>
        </w:rPr>
        <w:br w:type="page"/>
      </w:r>
    </w:p>
    <w:p w14:paraId="253400D0" w14:textId="3653D007" w:rsidR="003A46D8" w:rsidRPr="00BD133E" w:rsidRDefault="003A46D8" w:rsidP="00BF1BA9">
      <w:pPr>
        <w:pStyle w:val="Heading1"/>
      </w:pPr>
      <w:bookmarkStart w:id="2" w:name="_Toc63778684"/>
      <w:r w:rsidRPr="00BD133E">
        <w:lastRenderedPageBreak/>
        <w:t>Introduction</w:t>
      </w:r>
      <w:bookmarkEnd w:id="2"/>
    </w:p>
    <w:p w14:paraId="570FF8D0" w14:textId="77777777" w:rsidR="003A46D8" w:rsidRPr="008B7AA7" w:rsidRDefault="003A46D8" w:rsidP="003A46D8">
      <w:pPr>
        <w:rPr>
          <w:sz w:val="36"/>
          <w:szCs w:val="36"/>
        </w:rPr>
      </w:pPr>
    </w:p>
    <w:p w14:paraId="1A2AA4CB" w14:textId="4AD07408" w:rsidR="00C16C1A" w:rsidRPr="008B7AA7" w:rsidRDefault="00C16C1A" w:rsidP="00C16C1A">
      <w:pPr>
        <w:rPr>
          <w:sz w:val="36"/>
          <w:szCs w:val="36"/>
        </w:rPr>
      </w:pPr>
      <w:r w:rsidRPr="008B7AA7">
        <w:rPr>
          <w:sz w:val="36"/>
          <w:szCs w:val="36"/>
        </w:rPr>
        <w:t>Almost one in three women aged 16-59 will experience domestic abuse in her lifetime</w:t>
      </w:r>
      <w:r w:rsidR="000C5AC3" w:rsidRPr="008B7AA7">
        <w:rPr>
          <w:sz w:val="36"/>
          <w:szCs w:val="36"/>
        </w:rPr>
        <w:t>;</w:t>
      </w:r>
      <w:r w:rsidRPr="008B7AA7">
        <w:rPr>
          <w:rStyle w:val="FootnoteReference"/>
          <w:sz w:val="36"/>
          <w:szCs w:val="36"/>
        </w:rPr>
        <w:footnoteReference w:id="1"/>
      </w:r>
      <w:r w:rsidR="000C5AC3" w:rsidRPr="008B7AA7">
        <w:rPr>
          <w:sz w:val="36"/>
          <w:szCs w:val="36"/>
        </w:rPr>
        <w:t xml:space="preserve"> </w:t>
      </w:r>
      <w:r w:rsidRPr="008B7AA7">
        <w:rPr>
          <w:sz w:val="36"/>
          <w:szCs w:val="36"/>
        </w:rPr>
        <w:t>two women a week in England and Wales are killed by a current or former partner</w:t>
      </w:r>
      <w:r w:rsidRPr="008B7AA7">
        <w:rPr>
          <w:rStyle w:val="FootnoteReference"/>
          <w:sz w:val="36"/>
          <w:szCs w:val="36"/>
        </w:rPr>
        <w:footnoteReference w:id="2"/>
      </w:r>
      <w:r w:rsidRPr="008B7AA7">
        <w:rPr>
          <w:sz w:val="36"/>
          <w:szCs w:val="36"/>
        </w:rPr>
        <w:t xml:space="preserve"> </w:t>
      </w:r>
    </w:p>
    <w:p w14:paraId="45F93049" w14:textId="1906F8B0" w:rsidR="003842AD" w:rsidRPr="008B7AA7" w:rsidRDefault="00FA36A9" w:rsidP="003842AD">
      <w:pPr>
        <w:rPr>
          <w:sz w:val="36"/>
          <w:szCs w:val="36"/>
        </w:rPr>
      </w:pPr>
      <w:r w:rsidRPr="008B7AA7">
        <w:rPr>
          <w:sz w:val="36"/>
          <w:szCs w:val="36"/>
        </w:rPr>
        <w:t>over</w:t>
      </w:r>
      <w:r w:rsidR="003842AD" w:rsidRPr="008B7AA7">
        <w:rPr>
          <w:sz w:val="36"/>
          <w:szCs w:val="36"/>
        </w:rPr>
        <w:t xml:space="preserve"> half a million women are raped or sexually assaulted each year;</w:t>
      </w:r>
      <w:r w:rsidRPr="008B7AA7">
        <w:rPr>
          <w:rStyle w:val="FootnoteReference"/>
          <w:sz w:val="36"/>
          <w:szCs w:val="36"/>
        </w:rPr>
        <w:footnoteReference w:id="3"/>
      </w:r>
      <w:r w:rsidR="003842AD" w:rsidRPr="008B7AA7">
        <w:rPr>
          <w:sz w:val="36"/>
          <w:szCs w:val="36"/>
        </w:rPr>
        <w:t xml:space="preserve"> there are more than 135,000 women and girls affected by FGM living in England and Wales;</w:t>
      </w:r>
      <w:r w:rsidR="000C5AC3" w:rsidRPr="008B7AA7">
        <w:rPr>
          <w:rStyle w:val="FootnoteReference"/>
          <w:sz w:val="36"/>
          <w:szCs w:val="36"/>
        </w:rPr>
        <w:footnoteReference w:id="4"/>
      </w:r>
      <w:r w:rsidR="003842AD" w:rsidRPr="008B7AA7">
        <w:rPr>
          <w:sz w:val="36"/>
          <w:szCs w:val="36"/>
        </w:rPr>
        <w:t xml:space="preserve"> and a third of girls report having experienced sexual harassment at school.</w:t>
      </w:r>
      <w:r w:rsidRPr="008B7AA7">
        <w:rPr>
          <w:rStyle w:val="FootnoteReference"/>
          <w:sz w:val="36"/>
          <w:szCs w:val="36"/>
        </w:rPr>
        <w:footnoteReference w:id="5"/>
      </w:r>
      <w:r w:rsidR="003842AD" w:rsidRPr="008B7AA7">
        <w:rPr>
          <w:sz w:val="36"/>
          <w:szCs w:val="36"/>
        </w:rPr>
        <w:t xml:space="preserve"> These </w:t>
      </w:r>
      <w:r w:rsidR="0053036A" w:rsidRPr="008B7AA7">
        <w:rPr>
          <w:sz w:val="36"/>
          <w:szCs w:val="36"/>
        </w:rPr>
        <w:t xml:space="preserve">and other </w:t>
      </w:r>
      <w:r w:rsidR="003842AD" w:rsidRPr="008B7AA7">
        <w:rPr>
          <w:sz w:val="36"/>
          <w:szCs w:val="36"/>
        </w:rPr>
        <w:t xml:space="preserve">forms of </w:t>
      </w:r>
      <w:r w:rsidR="0053036A" w:rsidRPr="008B7AA7">
        <w:rPr>
          <w:sz w:val="36"/>
          <w:szCs w:val="36"/>
        </w:rPr>
        <w:t xml:space="preserve">abuse </w:t>
      </w:r>
      <w:r w:rsidR="003842AD" w:rsidRPr="008B7AA7">
        <w:rPr>
          <w:sz w:val="36"/>
          <w:szCs w:val="36"/>
        </w:rPr>
        <w:t xml:space="preserve">stop </w:t>
      </w:r>
      <w:r w:rsidR="00F53725" w:rsidRPr="008B7AA7">
        <w:rPr>
          <w:sz w:val="36"/>
          <w:szCs w:val="36"/>
        </w:rPr>
        <w:t xml:space="preserve">hundreds of </w:t>
      </w:r>
      <w:r w:rsidR="003842AD" w:rsidRPr="008B7AA7">
        <w:rPr>
          <w:sz w:val="36"/>
          <w:szCs w:val="36"/>
        </w:rPr>
        <w:t>thousands of women and girls living the lives they would choose for themselves.</w:t>
      </w:r>
    </w:p>
    <w:p w14:paraId="6A3FD458" w14:textId="77777777" w:rsidR="003842AD" w:rsidRPr="008B7AA7" w:rsidRDefault="003842AD" w:rsidP="003842AD">
      <w:pPr>
        <w:rPr>
          <w:sz w:val="36"/>
          <w:szCs w:val="36"/>
        </w:rPr>
      </w:pPr>
    </w:p>
    <w:p w14:paraId="1AC927D2" w14:textId="172D3B81" w:rsidR="003A46D8" w:rsidRPr="008B7AA7" w:rsidRDefault="0053036A" w:rsidP="003A46D8">
      <w:pPr>
        <w:rPr>
          <w:sz w:val="36"/>
          <w:szCs w:val="36"/>
        </w:rPr>
      </w:pPr>
      <w:r w:rsidRPr="008B7AA7">
        <w:rPr>
          <w:i/>
          <w:iCs/>
          <w:sz w:val="36"/>
          <w:szCs w:val="36"/>
        </w:rPr>
        <w:t xml:space="preserve">A </w:t>
      </w:r>
      <w:r w:rsidR="003A46D8" w:rsidRPr="008B7AA7">
        <w:rPr>
          <w:i/>
          <w:iCs/>
          <w:sz w:val="36"/>
          <w:szCs w:val="36"/>
        </w:rPr>
        <w:t>different world is possible.</w:t>
      </w:r>
      <w:r w:rsidR="003A46D8" w:rsidRPr="008B7AA7">
        <w:rPr>
          <w:sz w:val="36"/>
          <w:szCs w:val="36"/>
        </w:rPr>
        <w:t xml:space="preserve"> It was this shared vision that brought a collection of frontline women’s organisations, </w:t>
      </w:r>
      <w:r w:rsidR="003842AD" w:rsidRPr="008B7AA7">
        <w:rPr>
          <w:sz w:val="36"/>
          <w:szCs w:val="36"/>
        </w:rPr>
        <w:t>academics</w:t>
      </w:r>
      <w:r w:rsidR="003A46D8" w:rsidRPr="008B7AA7">
        <w:rPr>
          <w:sz w:val="36"/>
          <w:szCs w:val="36"/>
        </w:rPr>
        <w:t xml:space="preserve">, lawyers and activists together over 15 years ago to </w:t>
      </w:r>
      <w:r w:rsidR="003A46D8" w:rsidRPr="008B7AA7">
        <w:rPr>
          <w:sz w:val="36"/>
          <w:szCs w:val="36"/>
        </w:rPr>
        <w:lastRenderedPageBreak/>
        <w:t>form the End Violence Against Women Coalition (EVAW) to make the case that more</w:t>
      </w:r>
      <w:r w:rsidR="003842AD" w:rsidRPr="008B7AA7">
        <w:rPr>
          <w:sz w:val="36"/>
          <w:szCs w:val="36"/>
        </w:rPr>
        <w:t xml:space="preserve"> </w:t>
      </w:r>
      <w:r w:rsidR="003A46D8" w:rsidRPr="008B7AA7">
        <w:rPr>
          <w:sz w:val="36"/>
          <w:szCs w:val="36"/>
        </w:rPr>
        <w:t>action was needed from the Government to end violence against women and girls (VAWG). Violence against women and girls can be prevented and it must end.</w:t>
      </w:r>
    </w:p>
    <w:p w14:paraId="3209581D" w14:textId="77777777" w:rsidR="003A46D8" w:rsidRPr="008B7AA7" w:rsidRDefault="003A46D8" w:rsidP="003A46D8">
      <w:pPr>
        <w:rPr>
          <w:sz w:val="36"/>
          <w:szCs w:val="36"/>
        </w:rPr>
      </w:pPr>
    </w:p>
    <w:p w14:paraId="2B862C8C" w14:textId="7F733616" w:rsidR="003A46D8" w:rsidRPr="008B7AA7" w:rsidRDefault="00070FAC" w:rsidP="003A46D8">
      <w:pPr>
        <w:rPr>
          <w:sz w:val="36"/>
          <w:szCs w:val="36"/>
        </w:rPr>
      </w:pPr>
      <w:r w:rsidRPr="008B7AA7">
        <w:rPr>
          <w:sz w:val="36"/>
          <w:szCs w:val="36"/>
        </w:rPr>
        <w:t xml:space="preserve">Women and girls' very disproportionate experience of forms of gender-based violence is </w:t>
      </w:r>
      <w:r w:rsidR="00DA5F8D" w:rsidRPr="008B7AA7">
        <w:rPr>
          <w:sz w:val="36"/>
          <w:szCs w:val="36"/>
        </w:rPr>
        <w:t>tied to</w:t>
      </w:r>
      <w:r w:rsidRPr="008B7AA7">
        <w:rPr>
          <w:sz w:val="36"/>
          <w:szCs w:val="36"/>
        </w:rPr>
        <w:t xml:space="preserve"> </w:t>
      </w:r>
      <w:r w:rsidR="008245F0" w:rsidRPr="008B7AA7">
        <w:rPr>
          <w:sz w:val="36"/>
          <w:szCs w:val="36"/>
        </w:rPr>
        <w:t>their</w:t>
      </w:r>
      <w:r w:rsidRPr="008B7AA7">
        <w:rPr>
          <w:sz w:val="36"/>
          <w:szCs w:val="36"/>
        </w:rPr>
        <w:t xml:space="preserve"> ongoing inequality, with many women facing multiple disadvantage due to race, disability, poverty</w:t>
      </w:r>
      <w:r w:rsidR="00D2140D" w:rsidRPr="008B7AA7">
        <w:rPr>
          <w:sz w:val="36"/>
          <w:szCs w:val="36"/>
        </w:rPr>
        <w:t>, sexuality</w:t>
      </w:r>
      <w:r w:rsidRPr="008B7AA7">
        <w:rPr>
          <w:sz w:val="36"/>
          <w:szCs w:val="36"/>
        </w:rPr>
        <w:t xml:space="preserve"> or immigration status. </w:t>
      </w:r>
      <w:r w:rsidR="0053036A" w:rsidRPr="008B7AA7">
        <w:rPr>
          <w:sz w:val="36"/>
          <w:szCs w:val="36"/>
        </w:rPr>
        <w:t>T</w:t>
      </w:r>
      <w:r w:rsidRPr="008B7AA7">
        <w:rPr>
          <w:sz w:val="36"/>
          <w:szCs w:val="36"/>
        </w:rPr>
        <w:t xml:space="preserve">he Government </w:t>
      </w:r>
      <w:r w:rsidR="00943EC5" w:rsidRPr="008B7AA7">
        <w:rPr>
          <w:sz w:val="36"/>
          <w:szCs w:val="36"/>
        </w:rPr>
        <w:t>introduced</w:t>
      </w:r>
      <w:r w:rsidRPr="008B7AA7">
        <w:rPr>
          <w:sz w:val="36"/>
          <w:szCs w:val="36"/>
        </w:rPr>
        <w:t xml:space="preserve"> a joined</w:t>
      </w:r>
      <w:r w:rsidR="0053036A" w:rsidRPr="008B7AA7">
        <w:rPr>
          <w:sz w:val="36"/>
          <w:szCs w:val="36"/>
        </w:rPr>
        <w:t xml:space="preserve"> </w:t>
      </w:r>
      <w:r w:rsidRPr="008B7AA7">
        <w:rPr>
          <w:sz w:val="36"/>
          <w:szCs w:val="36"/>
        </w:rPr>
        <w:t xml:space="preserve">up </w:t>
      </w:r>
      <w:r w:rsidR="0053036A" w:rsidRPr="008B7AA7">
        <w:rPr>
          <w:sz w:val="36"/>
          <w:szCs w:val="36"/>
        </w:rPr>
        <w:t xml:space="preserve">cross-departmental </w:t>
      </w:r>
      <w:r w:rsidRPr="008B7AA7">
        <w:rPr>
          <w:sz w:val="36"/>
          <w:szCs w:val="36"/>
        </w:rPr>
        <w:t xml:space="preserve">approach to tackling </w:t>
      </w:r>
      <w:r w:rsidR="0053036A" w:rsidRPr="008B7AA7">
        <w:rPr>
          <w:sz w:val="36"/>
          <w:szCs w:val="36"/>
        </w:rPr>
        <w:t>VAWG</w:t>
      </w:r>
      <w:r w:rsidRPr="008B7AA7">
        <w:rPr>
          <w:sz w:val="36"/>
          <w:szCs w:val="36"/>
        </w:rPr>
        <w:t xml:space="preserve"> </w:t>
      </w:r>
      <w:r w:rsidR="001C2CD5">
        <w:rPr>
          <w:sz w:val="36"/>
          <w:szCs w:val="36"/>
        </w:rPr>
        <w:t>in</w:t>
      </w:r>
      <w:r w:rsidR="001C2CD5" w:rsidRPr="008B7AA7">
        <w:rPr>
          <w:sz w:val="36"/>
          <w:szCs w:val="36"/>
        </w:rPr>
        <w:t xml:space="preserve"> </w:t>
      </w:r>
      <w:r w:rsidRPr="008B7AA7">
        <w:rPr>
          <w:sz w:val="36"/>
          <w:szCs w:val="36"/>
        </w:rPr>
        <w:t>2010.</w:t>
      </w:r>
      <w:r w:rsidR="00DA5F8D" w:rsidRPr="008B7AA7">
        <w:rPr>
          <w:sz w:val="36"/>
          <w:szCs w:val="36"/>
        </w:rPr>
        <w:t xml:space="preserve"> </w:t>
      </w:r>
      <w:r w:rsidR="008245F0" w:rsidRPr="008B7AA7">
        <w:rPr>
          <w:sz w:val="36"/>
          <w:szCs w:val="36"/>
        </w:rPr>
        <w:t>Whilst there remains much more to do, the 2016, and 2019 refresh</w:t>
      </w:r>
      <w:r w:rsidR="001C2CD5">
        <w:rPr>
          <w:sz w:val="36"/>
          <w:szCs w:val="36"/>
        </w:rPr>
        <w:t>es</w:t>
      </w:r>
      <w:r w:rsidR="008245F0" w:rsidRPr="008B7AA7">
        <w:rPr>
          <w:sz w:val="36"/>
          <w:szCs w:val="36"/>
        </w:rPr>
        <w:t xml:space="preserve"> of the </w:t>
      </w:r>
      <w:r w:rsidR="003A46D8" w:rsidRPr="008B7AA7">
        <w:rPr>
          <w:sz w:val="36"/>
          <w:szCs w:val="36"/>
        </w:rPr>
        <w:t>VAWG Strateg</w:t>
      </w:r>
      <w:r w:rsidR="008245F0" w:rsidRPr="008B7AA7">
        <w:rPr>
          <w:sz w:val="36"/>
          <w:szCs w:val="36"/>
        </w:rPr>
        <w:t>y</w:t>
      </w:r>
      <w:r w:rsidR="003A46D8" w:rsidRPr="008B7AA7">
        <w:rPr>
          <w:sz w:val="36"/>
          <w:szCs w:val="36"/>
        </w:rPr>
        <w:t xml:space="preserve">, </w:t>
      </w:r>
      <w:r w:rsidR="00DA5F8D" w:rsidRPr="008B7AA7">
        <w:rPr>
          <w:sz w:val="36"/>
          <w:szCs w:val="36"/>
        </w:rPr>
        <w:t>ha</w:t>
      </w:r>
      <w:r w:rsidR="001C2CD5">
        <w:rPr>
          <w:sz w:val="36"/>
          <w:szCs w:val="36"/>
        </w:rPr>
        <w:t>ve</w:t>
      </w:r>
      <w:r w:rsidR="00DA5F8D" w:rsidRPr="008B7AA7">
        <w:rPr>
          <w:sz w:val="36"/>
          <w:szCs w:val="36"/>
        </w:rPr>
        <w:t xml:space="preserve"> helped transform some responses to abuse</w:t>
      </w:r>
      <w:r w:rsidR="008245F0" w:rsidRPr="008B7AA7">
        <w:rPr>
          <w:sz w:val="36"/>
          <w:szCs w:val="36"/>
        </w:rPr>
        <w:t>,</w:t>
      </w:r>
      <w:r w:rsidR="00DA5F8D" w:rsidRPr="008B7AA7">
        <w:rPr>
          <w:sz w:val="36"/>
          <w:szCs w:val="36"/>
        </w:rPr>
        <w:t xml:space="preserve"> and ha</w:t>
      </w:r>
      <w:r w:rsidR="001C2CD5">
        <w:rPr>
          <w:sz w:val="36"/>
          <w:szCs w:val="36"/>
        </w:rPr>
        <w:t xml:space="preserve">ve </w:t>
      </w:r>
      <w:r w:rsidR="00DA5F8D" w:rsidRPr="008B7AA7">
        <w:rPr>
          <w:sz w:val="36"/>
          <w:szCs w:val="36"/>
        </w:rPr>
        <w:t xml:space="preserve">been </w:t>
      </w:r>
      <w:r w:rsidR="003A46D8" w:rsidRPr="008B7AA7">
        <w:rPr>
          <w:sz w:val="36"/>
          <w:szCs w:val="36"/>
        </w:rPr>
        <w:t xml:space="preserve">a leap forward in recognising the need for integrated and coordinated approaches to tackling the various and interconnected forms of VAWG that women and girls experience throughout their lives. </w:t>
      </w:r>
    </w:p>
    <w:p w14:paraId="5567D2CC" w14:textId="77777777" w:rsidR="003A46D8" w:rsidRPr="008B7AA7" w:rsidRDefault="003A46D8" w:rsidP="003A46D8">
      <w:pPr>
        <w:rPr>
          <w:sz w:val="36"/>
          <w:szCs w:val="36"/>
        </w:rPr>
      </w:pPr>
    </w:p>
    <w:p w14:paraId="0B0EB115" w14:textId="2B6CF122" w:rsidR="003A46D8" w:rsidRPr="008B7AA7" w:rsidRDefault="003A46D8" w:rsidP="003A46D8">
      <w:pPr>
        <w:rPr>
          <w:sz w:val="36"/>
          <w:szCs w:val="36"/>
        </w:rPr>
      </w:pPr>
      <w:r w:rsidRPr="008B7AA7">
        <w:rPr>
          <w:sz w:val="36"/>
          <w:szCs w:val="36"/>
        </w:rPr>
        <w:t xml:space="preserve">In 2021, ahead of the </w:t>
      </w:r>
      <w:r w:rsidR="00943EC5" w:rsidRPr="008B7AA7">
        <w:rPr>
          <w:sz w:val="36"/>
          <w:szCs w:val="36"/>
        </w:rPr>
        <w:t>publication of</w:t>
      </w:r>
      <w:r w:rsidRPr="008B7AA7">
        <w:rPr>
          <w:sz w:val="36"/>
          <w:szCs w:val="36"/>
        </w:rPr>
        <w:t xml:space="preserve"> </w:t>
      </w:r>
      <w:r w:rsidR="00DA5F8D" w:rsidRPr="008B7AA7">
        <w:rPr>
          <w:sz w:val="36"/>
          <w:szCs w:val="36"/>
        </w:rPr>
        <w:t>a</w:t>
      </w:r>
      <w:r w:rsidRPr="008B7AA7">
        <w:rPr>
          <w:sz w:val="36"/>
          <w:szCs w:val="36"/>
        </w:rPr>
        <w:t xml:space="preserve"> new </w:t>
      </w:r>
      <w:r w:rsidR="00DA5F8D" w:rsidRPr="008B7AA7">
        <w:rPr>
          <w:sz w:val="36"/>
          <w:szCs w:val="36"/>
        </w:rPr>
        <w:t xml:space="preserve">Home Office led cross-government </w:t>
      </w:r>
      <w:r w:rsidRPr="008B7AA7">
        <w:rPr>
          <w:sz w:val="36"/>
          <w:szCs w:val="36"/>
        </w:rPr>
        <w:t xml:space="preserve">VAWG Strategy, and in the midst of a global </w:t>
      </w:r>
      <w:r w:rsidR="00943EC5" w:rsidRPr="008B7AA7">
        <w:rPr>
          <w:sz w:val="36"/>
          <w:szCs w:val="36"/>
        </w:rPr>
        <w:t xml:space="preserve">Coronavirus </w:t>
      </w:r>
      <w:r w:rsidRPr="008B7AA7">
        <w:rPr>
          <w:sz w:val="36"/>
          <w:szCs w:val="36"/>
        </w:rPr>
        <w:t>pandemic that has</w:t>
      </w:r>
      <w:r w:rsidR="00943EC5" w:rsidRPr="008B7AA7">
        <w:rPr>
          <w:sz w:val="36"/>
          <w:szCs w:val="36"/>
        </w:rPr>
        <w:t xml:space="preserve"> wide-ranging</w:t>
      </w:r>
      <w:r w:rsidR="00DA5F8D" w:rsidRPr="008B7AA7">
        <w:rPr>
          <w:sz w:val="36"/>
          <w:szCs w:val="36"/>
        </w:rPr>
        <w:t xml:space="preserve"> </w:t>
      </w:r>
      <w:r w:rsidR="00943EC5" w:rsidRPr="008B7AA7">
        <w:rPr>
          <w:sz w:val="36"/>
          <w:szCs w:val="36"/>
        </w:rPr>
        <w:t>impacts</w:t>
      </w:r>
      <w:r w:rsidR="00DA5F8D" w:rsidRPr="008B7AA7">
        <w:rPr>
          <w:sz w:val="36"/>
          <w:szCs w:val="36"/>
        </w:rPr>
        <w:t xml:space="preserve"> </w:t>
      </w:r>
      <w:r w:rsidR="00943EC5" w:rsidRPr="008B7AA7">
        <w:rPr>
          <w:sz w:val="36"/>
          <w:szCs w:val="36"/>
        </w:rPr>
        <w:t>on</w:t>
      </w:r>
      <w:r w:rsidR="00DA5F8D" w:rsidRPr="008B7AA7">
        <w:rPr>
          <w:sz w:val="36"/>
          <w:szCs w:val="36"/>
        </w:rPr>
        <w:t xml:space="preserve"> </w:t>
      </w:r>
      <w:r w:rsidRPr="008B7AA7">
        <w:rPr>
          <w:sz w:val="36"/>
          <w:szCs w:val="36"/>
        </w:rPr>
        <w:t>women</w:t>
      </w:r>
      <w:r w:rsidR="008245F0" w:rsidRPr="008B7AA7">
        <w:rPr>
          <w:sz w:val="36"/>
          <w:szCs w:val="36"/>
        </w:rPr>
        <w:t xml:space="preserve"> and girls</w:t>
      </w:r>
      <w:r w:rsidRPr="008B7AA7">
        <w:rPr>
          <w:sz w:val="36"/>
          <w:szCs w:val="36"/>
        </w:rPr>
        <w:t xml:space="preserve">, it is more important than ever to recognise the importance of centring discussions of VAWG in the </w:t>
      </w:r>
      <w:r w:rsidR="008245F0" w:rsidRPr="008B7AA7">
        <w:rPr>
          <w:sz w:val="36"/>
          <w:szCs w:val="36"/>
        </w:rPr>
        <w:t xml:space="preserve">actual </w:t>
      </w:r>
      <w:r w:rsidRPr="008B7AA7">
        <w:rPr>
          <w:sz w:val="36"/>
          <w:szCs w:val="36"/>
        </w:rPr>
        <w:t>reality of women and girls</w:t>
      </w:r>
      <w:r w:rsidR="008245F0" w:rsidRPr="008B7AA7">
        <w:rPr>
          <w:sz w:val="36"/>
          <w:szCs w:val="36"/>
        </w:rPr>
        <w:t xml:space="preserve"> lives</w:t>
      </w:r>
      <w:r w:rsidRPr="008B7AA7">
        <w:rPr>
          <w:sz w:val="36"/>
          <w:szCs w:val="36"/>
        </w:rPr>
        <w:t xml:space="preserve">. This report seeks to do just that and draws together the latest data on how </w:t>
      </w:r>
      <w:r w:rsidR="001C2CD5">
        <w:rPr>
          <w:sz w:val="36"/>
          <w:szCs w:val="36"/>
        </w:rPr>
        <w:t xml:space="preserve">and how </w:t>
      </w:r>
      <w:r w:rsidRPr="008B7AA7">
        <w:rPr>
          <w:sz w:val="36"/>
          <w:szCs w:val="36"/>
        </w:rPr>
        <w:t>many women’s and girls’ lives are affected by VAWG and the most recent policy developments from the past year on this issue.</w:t>
      </w:r>
    </w:p>
    <w:p w14:paraId="4DAC255B" w14:textId="77777777" w:rsidR="003A46D8" w:rsidRPr="008B7AA7" w:rsidRDefault="003A46D8" w:rsidP="003A46D8">
      <w:pPr>
        <w:rPr>
          <w:sz w:val="36"/>
          <w:szCs w:val="36"/>
        </w:rPr>
      </w:pPr>
    </w:p>
    <w:p w14:paraId="6021ECC6" w14:textId="5CD83A21" w:rsidR="003A46D8" w:rsidRPr="008B7AA7" w:rsidRDefault="000300EA" w:rsidP="003A46D8">
      <w:pPr>
        <w:rPr>
          <w:sz w:val="36"/>
          <w:szCs w:val="36"/>
        </w:rPr>
      </w:pPr>
      <w:r w:rsidRPr="008B7AA7">
        <w:rPr>
          <w:sz w:val="36"/>
          <w:szCs w:val="36"/>
        </w:rPr>
        <w:t xml:space="preserve">In 2020 we witnessed </w:t>
      </w:r>
      <w:r w:rsidR="003A46D8" w:rsidRPr="008B7AA7">
        <w:rPr>
          <w:sz w:val="36"/>
          <w:szCs w:val="36"/>
        </w:rPr>
        <w:t>the powerful global impact of the call for racial justice led by Black Lives Matter in the wake of George Floyd’s murder</w:t>
      </w:r>
      <w:r w:rsidR="00CE1E7C" w:rsidRPr="008B7AA7">
        <w:rPr>
          <w:sz w:val="36"/>
          <w:szCs w:val="36"/>
        </w:rPr>
        <w:t xml:space="preserve"> in the US</w:t>
      </w:r>
      <w:r w:rsidR="003A46D8" w:rsidRPr="008B7AA7">
        <w:rPr>
          <w:sz w:val="36"/>
          <w:szCs w:val="36"/>
        </w:rPr>
        <w:t xml:space="preserve">. It has </w:t>
      </w:r>
      <w:r w:rsidR="00CF695D" w:rsidRPr="008B7AA7">
        <w:rPr>
          <w:sz w:val="36"/>
          <w:szCs w:val="36"/>
        </w:rPr>
        <w:t>inspired</w:t>
      </w:r>
      <w:r w:rsidR="00CE1E7C" w:rsidRPr="008B7AA7">
        <w:rPr>
          <w:sz w:val="36"/>
          <w:szCs w:val="36"/>
        </w:rPr>
        <w:t xml:space="preserve"> </w:t>
      </w:r>
      <w:r w:rsidR="003A46D8" w:rsidRPr="008B7AA7">
        <w:rPr>
          <w:sz w:val="36"/>
          <w:szCs w:val="36"/>
        </w:rPr>
        <w:t xml:space="preserve">a great deal of reflection and </w:t>
      </w:r>
      <w:r w:rsidR="00CF695D" w:rsidRPr="008B7AA7">
        <w:rPr>
          <w:sz w:val="36"/>
          <w:szCs w:val="36"/>
        </w:rPr>
        <w:t xml:space="preserve">led to </w:t>
      </w:r>
      <w:r w:rsidR="005D143A" w:rsidRPr="008B7AA7">
        <w:rPr>
          <w:sz w:val="36"/>
          <w:szCs w:val="36"/>
        </w:rPr>
        <w:t>re</w:t>
      </w:r>
      <w:r w:rsidR="00462306" w:rsidRPr="008B7AA7">
        <w:rPr>
          <w:sz w:val="36"/>
          <w:szCs w:val="36"/>
        </w:rPr>
        <w:t>invigorated</w:t>
      </w:r>
      <w:r w:rsidR="00CE1E7C" w:rsidRPr="008B7AA7">
        <w:rPr>
          <w:sz w:val="36"/>
          <w:szCs w:val="36"/>
        </w:rPr>
        <w:t xml:space="preserve"> </w:t>
      </w:r>
      <w:r w:rsidR="005D143A" w:rsidRPr="008B7AA7">
        <w:rPr>
          <w:sz w:val="36"/>
          <w:szCs w:val="36"/>
        </w:rPr>
        <w:t>efforts</w:t>
      </w:r>
      <w:r w:rsidR="00CE1E7C" w:rsidRPr="008B7AA7">
        <w:rPr>
          <w:sz w:val="36"/>
          <w:szCs w:val="36"/>
        </w:rPr>
        <w:t xml:space="preserve"> towards </w:t>
      </w:r>
      <w:r w:rsidR="003A46D8" w:rsidRPr="008B7AA7">
        <w:rPr>
          <w:sz w:val="36"/>
          <w:szCs w:val="36"/>
        </w:rPr>
        <w:t>tackl</w:t>
      </w:r>
      <w:r w:rsidR="00CE1E7C" w:rsidRPr="008B7AA7">
        <w:rPr>
          <w:sz w:val="36"/>
          <w:szCs w:val="36"/>
        </w:rPr>
        <w:t>ing</w:t>
      </w:r>
      <w:r w:rsidR="003A46D8" w:rsidRPr="008B7AA7">
        <w:rPr>
          <w:sz w:val="36"/>
          <w:szCs w:val="36"/>
        </w:rPr>
        <w:t xml:space="preserve"> </w:t>
      </w:r>
      <w:r w:rsidR="003A46D8" w:rsidRPr="008B7AA7">
        <w:rPr>
          <w:sz w:val="36"/>
          <w:szCs w:val="36"/>
        </w:rPr>
        <w:lastRenderedPageBreak/>
        <w:t>structural racism and how it intersects with gender inequality</w:t>
      </w:r>
      <w:r w:rsidR="00CF695D" w:rsidRPr="008B7AA7">
        <w:rPr>
          <w:sz w:val="36"/>
          <w:szCs w:val="36"/>
        </w:rPr>
        <w:t xml:space="preserve"> by the VAWG Sector</w:t>
      </w:r>
      <w:r w:rsidR="00943EC5" w:rsidRPr="008B7AA7">
        <w:rPr>
          <w:rStyle w:val="FootnoteReference"/>
          <w:sz w:val="36"/>
          <w:szCs w:val="36"/>
        </w:rPr>
        <w:footnoteReference w:id="6"/>
      </w:r>
      <w:r w:rsidR="003A46D8" w:rsidRPr="008B7AA7">
        <w:rPr>
          <w:sz w:val="36"/>
          <w:szCs w:val="36"/>
        </w:rPr>
        <w:t xml:space="preserve">. Official statistics are still woefully poor on who is experiencing VAWG in terms of race, ethnicity, disability, sexual orientation and class, even though we know that various intersecting inequalities </w:t>
      </w:r>
      <w:r w:rsidR="00CF695D" w:rsidRPr="008B7AA7">
        <w:rPr>
          <w:sz w:val="36"/>
          <w:szCs w:val="36"/>
        </w:rPr>
        <w:t>have a strong bearing on this</w:t>
      </w:r>
      <w:r w:rsidR="003A46D8" w:rsidRPr="008B7AA7">
        <w:rPr>
          <w:sz w:val="36"/>
          <w:szCs w:val="36"/>
        </w:rPr>
        <w:t xml:space="preserve">. </w:t>
      </w:r>
      <w:r w:rsidR="00CE1E7C" w:rsidRPr="008B7AA7">
        <w:rPr>
          <w:sz w:val="36"/>
          <w:szCs w:val="36"/>
        </w:rPr>
        <w:t>M</w:t>
      </w:r>
      <w:r w:rsidR="003A46D8" w:rsidRPr="008B7AA7">
        <w:rPr>
          <w:sz w:val="36"/>
          <w:szCs w:val="36"/>
        </w:rPr>
        <w:t>any EVAW members and the wider specialist VAWG sector with decades of expertise and experience working directly with victim</w:t>
      </w:r>
      <w:r w:rsidR="00CA740A" w:rsidRPr="008B7AA7">
        <w:rPr>
          <w:sz w:val="36"/>
          <w:szCs w:val="36"/>
        </w:rPr>
        <w:t>-</w:t>
      </w:r>
      <w:r w:rsidR="003A46D8" w:rsidRPr="008B7AA7">
        <w:rPr>
          <w:sz w:val="36"/>
          <w:szCs w:val="36"/>
        </w:rPr>
        <w:t xml:space="preserve">survivors have this year produced insightful research and policy briefings that </w:t>
      </w:r>
      <w:r w:rsidR="00CE1E7C" w:rsidRPr="008B7AA7">
        <w:rPr>
          <w:sz w:val="36"/>
          <w:szCs w:val="36"/>
        </w:rPr>
        <w:t xml:space="preserve">spotlight </w:t>
      </w:r>
      <w:r w:rsidR="003A46D8" w:rsidRPr="008B7AA7">
        <w:rPr>
          <w:sz w:val="36"/>
          <w:szCs w:val="36"/>
        </w:rPr>
        <w:t>the under-reported experiences of women otherwise minoritised and marginalised by society.</w:t>
      </w:r>
    </w:p>
    <w:p w14:paraId="1085442B" w14:textId="77777777" w:rsidR="003A46D8" w:rsidRPr="008B7AA7" w:rsidRDefault="003A46D8" w:rsidP="003A46D8">
      <w:pPr>
        <w:rPr>
          <w:sz w:val="36"/>
          <w:szCs w:val="36"/>
        </w:rPr>
      </w:pPr>
    </w:p>
    <w:p w14:paraId="3F79B265" w14:textId="6E3AFCB2" w:rsidR="004355E3" w:rsidRPr="008B7AA7" w:rsidRDefault="00387C4E" w:rsidP="00CF695D">
      <w:pPr>
        <w:rPr>
          <w:sz w:val="36"/>
          <w:szCs w:val="36"/>
        </w:rPr>
      </w:pPr>
      <w:r w:rsidRPr="008B7AA7">
        <w:rPr>
          <w:sz w:val="36"/>
          <w:szCs w:val="36"/>
        </w:rPr>
        <w:t xml:space="preserve">In the midst of the global Covid-19 </w:t>
      </w:r>
      <w:r w:rsidR="003A46D8" w:rsidRPr="008B7AA7">
        <w:rPr>
          <w:sz w:val="36"/>
          <w:szCs w:val="36"/>
        </w:rPr>
        <w:t xml:space="preserve">pandemic that has left women more vulnerable to VAWG, it </w:t>
      </w:r>
      <w:r w:rsidR="00CF695D" w:rsidRPr="008B7AA7">
        <w:rPr>
          <w:sz w:val="36"/>
          <w:szCs w:val="36"/>
        </w:rPr>
        <w:t>remains more</w:t>
      </w:r>
      <w:r w:rsidR="003A46D8" w:rsidRPr="008B7AA7">
        <w:rPr>
          <w:sz w:val="36"/>
          <w:szCs w:val="36"/>
        </w:rPr>
        <w:t xml:space="preserve"> vital than ever to understand VAWG as the cause and consequence of gender inequality, and as a continuum</w:t>
      </w:r>
      <w:r w:rsidR="003A46D8" w:rsidRPr="008B7AA7">
        <w:rPr>
          <w:rStyle w:val="FootnoteReference"/>
          <w:sz w:val="36"/>
          <w:szCs w:val="36"/>
        </w:rPr>
        <w:footnoteReference w:id="7"/>
      </w:r>
      <w:r w:rsidR="003A46D8" w:rsidRPr="008B7AA7">
        <w:rPr>
          <w:sz w:val="36"/>
          <w:szCs w:val="36"/>
        </w:rPr>
        <w:t xml:space="preserve"> </w:t>
      </w:r>
      <w:r w:rsidR="00CE1E7C" w:rsidRPr="008B7AA7">
        <w:rPr>
          <w:sz w:val="36"/>
          <w:szCs w:val="36"/>
        </w:rPr>
        <w:t xml:space="preserve">of violence and abuse </w:t>
      </w:r>
      <w:r w:rsidR="003A46D8" w:rsidRPr="008B7AA7">
        <w:rPr>
          <w:sz w:val="36"/>
          <w:szCs w:val="36"/>
        </w:rPr>
        <w:t xml:space="preserve">which cannot be </w:t>
      </w:r>
      <w:r w:rsidR="00CE1E7C" w:rsidRPr="008B7AA7">
        <w:rPr>
          <w:sz w:val="36"/>
          <w:szCs w:val="36"/>
        </w:rPr>
        <w:t xml:space="preserve">easily </w:t>
      </w:r>
      <w:r w:rsidR="00D2140D" w:rsidRPr="008B7AA7">
        <w:rPr>
          <w:sz w:val="36"/>
          <w:szCs w:val="36"/>
        </w:rPr>
        <w:t>separated out.</w:t>
      </w:r>
      <w:r w:rsidR="003A46D8" w:rsidRPr="008B7AA7">
        <w:rPr>
          <w:sz w:val="36"/>
          <w:szCs w:val="36"/>
        </w:rPr>
        <w:t xml:space="preserve"> </w:t>
      </w:r>
      <w:r w:rsidRPr="008B7AA7">
        <w:rPr>
          <w:sz w:val="36"/>
          <w:szCs w:val="36"/>
        </w:rPr>
        <w:t>This</w:t>
      </w:r>
      <w:r w:rsidR="003A46D8" w:rsidRPr="008B7AA7">
        <w:rPr>
          <w:sz w:val="36"/>
          <w:szCs w:val="36"/>
        </w:rPr>
        <w:t xml:space="preserve"> intersecting continuum of oppression</w:t>
      </w:r>
      <w:r w:rsidR="003A46D8" w:rsidRPr="008B7AA7">
        <w:rPr>
          <w:rStyle w:val="FootnoteReference"/>
          <w:sz w:val="36"/>
          <w:szCs w:val="36"/>
        </w:rPr>
        <w:footnoteReference w:id="8"/>
      </w:r>
      <w:r w:rsidR="00CF695D" w:rsidRPr="008B7AA7">
        <w:rPr>
          <w:sz w:val="36"/>
          <w:szCs w:val="36"/>
        </w:rPr>
        <w:t xml:space="preserve"> </w:t>
      </w:r>
      <w:r w:rsidRPr="008B7AA7">
        <w:rPr>
          <w:sz w:val="36"/>
          <w:szCs w:val="36"/>
        </w:rPr>
        <w:t xml:space="preserve">– which is not </w:t>
      </w:r>
      <w:r w:rsidR="00CF695D" w:rsidRPr="008B7AA7">
        <w:rPr>
          <w:sz w:val="36"/>
          <w:szCs w:val="36"/>
        </w:rPr>
        <w:t xml:space="preserve">experienced </w:t>
      </w:r>
      <w:r w:rsidRPr="008B7AA7">
        <w:rPr>
          <w:sz w:val="36"/>
          <w:szCs w:val="36"/>
        </w:rPr>
        <w:t xml:space="preserve">homogeneously – is a reality which needs specialist support services run by </w:t>
      </w:r>
      <w:r w:rsidR="004355E3" w:rsidRPr="008B7AA7">
        <w:rPr>
          <w:sz w:val="36"/>
          <w:szCs w:val="36"/>
        </w:rPr>
        <w:t xml:space="preserve">Black and minoritised, migrant, deaf and disabled, LGBT+ </w:t>
      </w:r>
      <w:r w:rsidRPr="008B7AA7">
        <w:rPr>
          <w:sz w:val="36"/>
          <w:szCs w:val="36"/>
        </w:rPr>
        <w:t xml:space="preserve">women who understand different women's </w:t>
      </w:r>
      <w:r w:rsidR="004355E3" w:rsidRPr="008B7AA7">
        <w:rPr>
          <w:sz w:val="36"/>
          <w:szCs w:val="36"/>
        </w:rPr>
        <w:t xml:space="preserve">experiences and </w:t>
      </w:r>
      <w:r w:rsidRPr="008B7AA7">
        <w:rPr>
          <w:sz w:val="36"/>
          <w:szCs w:val="36"/>
        </w:rPr>
        <w:t xml:space="preserve">needs, as well as public sector workers across housing, health settings, schools, and the criminal justice system appropriately trained and resourced to provide an effective response to </w:t>
      </w:r>
      <w:r w:rsidR="004355E3" w:rsidRPr="008B7AA7">
        <w:rPr>
          <w:sz w:val="36"/>
          <w:szCs w:val="36"/>
        </w:rPr>
        <w:t xml:space="preserve">all </w:t>
      </w:r>
      <w:r w:rsidR="00CA740A" w:rsidRPr="008B7AA7">
        <w:rPr>
          <w:sz w:val="36"/>
          <w:szCs w:val="36"/>
        </w:rPr>
        <w:t>victim-</w:t>
      </w:r>
      <w:r w:rsidRPr="008B7AA7">
        <w:rPr>
          <w:sz w:val="36"/>
          <w:szCs w:val="36"/>
        </w:rPr>
        <w:t>survivors</w:t>
      </w:r>
      <w:r w:rsidR="004355E3" w:rsidRPr="008B7AA7">
        <w:rPr>
          <w:sz w:val="36"/>
          <w:szCs w:val="36"/>
        </w:rPr>
        <w:t>.</w:t>
      </w:r>
      <w:r w:rsidRPr="008B7AA7">
        <w:rPr>
          <w:sz w:val="36"/>
          <w:szCs w:val="36"/>
        </w:rPr>
        <w:t xml:space="preserve"> </w:t>
      </w:r>
    </w:p>
    <w:p w14:paraId="19F7F214" w14:textId="77777777" w:rsidR="004355E3" w:rsidRPr="008B7AA7" w:rsidRDefault="004355E3" w:rsidP="00CF695D">
      <w:pPr>
        <w:rPr>
          <w:sz w:val="36"/>
          <w:szCs w:val="36"/>
        </w:rPr>
      </w:pPr>
    </w:p>
    <w:p w14:paraId="6F4BD19C" w14:textId="77777777" w:rsidR="000D43F9" w:rsidRDefault="000D43F9">
      <w:pPr>
        <w:rPr>
          <w:b/>
          <w:bCs/>
          <w:sz w:val="40"/>
          <w:szCs w:val="40"/>
        </w:rPr>
      </w:pPr>
      <w:r>
        <w:rPr>
          <w:b/>
          <w:bCs/>
          <w:sz w:val="40"/>
          <w:szCs w:val="40"/>
        </w:rPr>
        <w:br w:type="page"/>
      </w:r>
    </w:p>
    <w:p w14:paraId="701FE02E" w14:textId="23181E36" w:rsidR="00221598" w:rsidRPr="00BD133E" w:rsidRDefault="00221598" w:rsidP="00BF1BA9">
      <w:pPr>
        <w:pStyle w:val="Heading1"/>
      </w:pPr>
      <w:bookmarkStart w:id="3" w:name="_Toc63778685"/>
      <w:r w:rsidRPr="00BD133E">
        <w:lastRenderedPageBreak/>
        <w:t>Recent trends</w:t>
      </w:r>
      <w:bookmarkEnd w:id="3"/>
    </w:p>
    <w:p w14:paraId="64891854" w14:textId="7A774AAB" w:rsidR="00221598" w:rsidRPr="00BD133E" w:rsidRDefault="00221598">
      <w:pPr>
        <w:rPr>
          <w:sz w:val="36"/>
          <w:szCs w:val="36"/>
        </w:rPr>
      </w:pPr>
    </w:p>
    <w:p w14:paraId="4D788180" w14:textId="4D9D63DB" w:rsidR="00221598" w:rsidRPr="00BD133E" w:rsidRDefault="00221598" w:rsidP="00A752B9">
      <w:pPr>
        <w:rPr>
          <w:b/>
          <w:bCs/>
          <w:sz w:val="36"/>
          <w:szCs w:val="36"/>
        </w:rPr>
      </w:pPr>
      <w:r w:rsidRPr="00BD133E">
        <w:rPr>
          <w:b/>
          <w:bCs/>
          <w:sz w:val="36"/>
          <w:szCs w:val="36"/>
        </w:rPr>
        <w:t>Covid-19</w:t>
      </w:r>
    </w:p>
    <w:p w14:paraId="20AE9AE4" w14:textId="6E4723EC" w:rsidR="00221598" w:rsidRPr="008B7AA7" w:rsidRDefault="00C2549C">
      <w:pPr>
        <w:rPr>
          <w:sz w:val="36"/>
          <w:szCs w:val="36"/>
        </w:rPr>
      </w:pPr>
      <w:r w:rsidRPr="008B7AA7">
        <w:rPr>
          <w:sz w:val="36"/>
          <w:szCs w:val="36"/>
        </w:rPr>
        <w:t>It was foreseeable and</w:t>
      </w:r>
      <w:r w:rsidR="00221598" w:rsidRPr="008B7AA7">
        <w:rPr>
          <w:sz w:val="36"/>
          <w:szCs w:val="36"/>
        </w:rPr>
        <w:t xml:space="preserve"> became evident very quickly that the </w:t>
      </w:r>
      <w:r w:rsidRPr="008B7AA7">
        <w:rPr>
          <w:sz w:val="36"/>
          <w:szCs w:val="36"/>
        </w:rPr>
        <w:t xml:space="preserve">Coronavirus pandemic </w:t>
      </w:r>
      <w:r w:rsidR="00221598" w:rsidRPr="008B7AA7">
        <w:rPr>
          <w:sz w:val="36"/>
          <w:szCs w:val="36"/>
        </w:rPr>
        <w:t xml:space="preserve">was anything but a “leveller”. </w:t>
      </w:r>
      <w:r w:rsidR="00533A55" w:rsidRPr="008B7AA7">
        <w:rPr>
          <w:sz w:val="36"/>
          <w:szCs w:val="36"/>
        </w:rPr>
        <w:t>One of the clearest examples of Covid-19 “landing on top of” existing inequalities in society has been the disproportionate impact o</w:t>
      </w:r>
      <w:r w:rsidR="002F1F2E" w:rsidRPr="008B7AA7">
        <w:rPr>
          <w:sz w:val="36"/>
          <w:szCs w:val="36"/>
        </w:rPr>
        <w:t>f the virus on</w:t>
      </w:r>
      <w:r w:rsidR="00533A55" w:rsidRPr="008B7AA7">
        <w:rPr>
          <w:sz w:val="36"/>
          <w:szCs w:val="36"/>
        </w:rPr>
        <w:t xml:space="preserve"> Black and minoritised communities, most notably Black African, Black Caribbean and Bangladeshi communities.</w:t>
      </w:r>
      <w:r w:rsidR="00533A55" w:rsidRPr="008B7AA7">
        <w:rPr>
          <w:rStyle w:val="FootnoteReference"/>
          <w:sz w:val="36"/>
          <w:szCs w:val="36"/>
        </w:rPr>
        <w:footnoteReference w:id="9"/>
      </w:r>
      <w:r w:rsidR="002B0D34" w:rsidRPr="008B7AA7">
        <w:rPr>
          <w:sz w:val="36"/>
          <w:szCs w:val="36"/>
        </w:rPr>
        <w:t xml:space="preserve"> </w:t>
      </w:r>
      <w:r w:rsidR="00533A55" w:rsidRPr="008B7AA7">
        <w:rPr>
          <w:sz w:val="36"/>
          <w:szCs w:val="36"/>
        </w:rPr>
        <w:t>These</w:t>
      </w:r>
      <w:r w:rsidR="00221598" w:rsidRPr="008B7AA7">
        <w:rPr>
          <w:sz w:val="36"/>
          <w:szCs w:val="36"/>
        </w:rPr>
        <w:t xml:space="preserve"> pre-existing entrenched inequalities in our society </w:t>
      </w:r>
      <w:r w:rsidR="00533A55" w:rsidRPr="008B7AA7">
        <w:rPr>
          <w:sz w:val="36"/>
          <w:szCs w:val="36"/>
        </w:rPr>
        <w:t>have been</w:t>
      </w:r>
      <w:r w:rsidR="00221598" w:rsidRPr="008B7AA7">
        <w:rPr>
          <w:sz w:val="36"/>
          <w:szCs w:val="36"/>
        </w:rPr>
        <w:t xml:space="preserve"> further exacerbated by Covid-19 which </w:t>
      </w:r>
      <w:r w:rsidR="00533A55" w:rsidRPr="008B7AA7">
        <w:rPr>
          <w:sz w:val="36"/>
          <w:szCs w:val="36"/>
        </w:rPr>
        <w:t xml:space="preserve">has resulted in </w:t>
      </w:r>
      <w:r w:rsidR="00221598" w:rsidRPr="008B7AA7">
        <w:rPr>
          <w:sz w:val="36"/>
          <w:szCs w:val="36"/>
        </w:rPr>
        <w:t xml:space="preserve">a conducive context for VAWG. </w:t>
      </w:r>
      <w:r w:rsidR="00466D68" w:rsidRPr="008B7AA7">
        <w:rPr>
          <w:sz w:val="36"/>
          <w:szCs w:val="36"/>
        </w:rPr>
        <w:t xml:space="preserve">It is however </w:t>
      </w:r>
      <w:r w:rsidR="00221598" w:rsidRPr="008B7AA7">
        <w:rPr>
          <w:sz w:val="36"/>
          <w:szCs w:val="36"/>
        </w:rPr>
        <w:t>clear that, because of intersecting inequalities among other issues, we only have a limited understanding of the full extent of th</w:t>
      </w:r>
      <w:r w:rsidR="00466D68" w:rsidRPr="008B7AA7">
        <w:rPr>
          <w:sz w:val="36"/>
          <w:szCs w:val="36"/>
        </w:rPr>
        <w:t>e</w:t>
      </w:r>
      <w:r w:rsidR="00221598" w:rsidRPr="008B7AA7">
        <w:rPr>
          <w:sz w:val="36"/>
          <w:szCs w:val="36"/>
        </w:rPr>
        <w:t xml:space="preserve"> rise</w:t>
      </w:r>
      <w:r w:rsidR="00466D68" w:rsidRPr="008B7AA7">
        <w:rPr>
          <w:sz w:val="36"/>
          <w:szCs w:val="36"/>
        </w:rPr>
        <w:t xml:space="preserve"> in VAWG</w:t>
      </w:r>
      <w:r w:rsidR="00221598" w:rsidRPr="008B7AA7">
        <w:rPr>
          <w:sz w:val="36"/>
          <w:szCs w:val="36"/>
        </w:rPr>
        <w:t xml:space="preserve">. </w:t>
      </w:r>
    </w:p>
    <w:p w14:paraId="6D411215" w14:textId="745FAF27" w:rsidR="00221598" w:rsidRPr="008B7AA7" w:rsidRDefault="00221598">
      <w:pPr>
        <w:rPr>
          <w:sz w:val="36"/>
          <w:szCs w:val="36"/>
        </w:rPr>
      </w:pPr>
    </w:p>
    <w:p w14:paraId="6D99308D" w14:textId="67FD2A67" w:rsidR="00533A55" w:rsidRPr="008B7AA7" w:rsidRDefault="00533A55" w:rsidP="00533A55">
      <w:pPr>
        <w:rPr>
          <w:sz w:val="36"/>
          <w:szCs w:val="36"/>
        </w:rPr>
      </w:pPr>
      <w:r w:rsidRPr="008B7AA7">
        <w:rPr>
          <w:sz w:val="36"/>
          <w:szCs w:val="36"/>
        </w:rPr>
        <w:t xml:space="preserve">Before Covid-19 the </w:t>
      </w:r>
      <w:r w:rsidR="002B0D34" w:rsidRPr="008B7AA7">
        <w:rPr>
          <w:sz w:val="36"/>
          <w:szCs w:val="36"/>
        </w:rPr>
        <w:t xml:space="preserve">Office of National Statistics (ONS) </w:t>
      </w:r>
      <w:r w:rsidRPr="008B7AA7">
        <w:rPr>
          <w:sz w:val="36"/>
          <w:szCs w:val="36"/>
        </w:rPr>
        <w:t>Crime Survey for England and Wales showed that an estimated 1.6 million women had been victim</w:t>
      </w:r>
      <w:r w:rsidR="004E60A3" w:rsidRPr="008B7AA7">
        <w:rPr>
          <w:sz w:val="36"/>
          <w:szCs w:val="36"/>
        </w:rPr>
        <w:t>-</w:t>
      </w:r>
      <w:r w:rsidRPr="008B7AA7">
        <w:rPr>
          <w:sz w:val="36"/>
          <w:szCs w:val="36"/>
        </w:rPr>
        <w:t xml:space="preserve">survivors of domestic abuse in </w:t>
      </w:r>
      <w:r w:rsidR="00462306" w:rsidRPr="008B7AA7">
        <w:rPr>
          <w:sz w:val="36"/>
          <w:szCs w:val="36"/>
        </w:rPr>
        <w:t xml:space="preserve">the </w:t>
      </w:r>
      <w:r w:rsidRPr="008B7AA7">
        <w:rPr>
          <w:sz w:val="36"/>
          <w:szCs w:val="36"/>
        </w:rPr>
        <w:t>year ending March 2020.</w:t>
      </w:r>
      <w:r w:rsidRPr="008B7AA7">
        <w:rPr>
          <w:rStyle w:val="FootnoteReference"/>
          <w:sz w:val="36"/>
          <w:szCs w:val="36"/>
        </w:rPr>
        <w:footnoteReference w:id="10"/>
      </w:r>
    </w:p>
    <w:p w14:paraId="13DEE257" w14:textId="77777777" w:rsidR="00533A55" w:rsidRPr="008B7AA7" w:rsidRDefault="00533A55" w:rsidP="008E530E">
      <w:pPr>
        <w:rPr>
          <w:sz w:val="36"/>
          <w:szCs w:val="36"/>
        </w:rPr>
      </w:pPr>
    </w:p>
    <w:p w14:paraId="30BAC6CE" w14:textId="77777777" w:rsidR="00B13C63" w:rsidRDefault="00533A55" w:rsidP="008E530E">
      <w:pPr>
        <w:rPr>
          <w:sz w:val="36"/>
          <w:szCs w:val="36"/>
        </w:rPr>
      </w:pPr>
      <w:r w:rsidRPr="008B7AA7">
        <w:rPr>
          <w:sz w:val="36"/>
          <w:szCs w:val="36"/>
        </w:rPr>
        <w:t>After the first national lockdown was announced in March, the National Domestic Abuse Helpline</w:t>
      </w:r>
      <w:r w:rsidR="00221598" w:rsidRPr="008B7AA7">
        <w:rPr>
          <w:sz w:val="36"/>
          <w:szCs w:val="36"/>
        </w:rPr>
        <w:t xml:space="preserve"> </w:t>
      </w:r>
      <w:r w:rsidRPr="008B7AA7">
        <w:rPr>
          <w:sz w:val="36"/>
          <w:szCs w:val="36"/>
        </w:rPr>
        <w:t xml:space="preserve">saw 40,000 calls from women, family members and professional in the first three </w:t>
      </w:r>
      <w:r w:rsidRPr="008B7AA7">
        <w:rPr>
          <w:sz w:val="36"/>
          <w:szCs w:val="36"/>
        </w:rPr>
        <w:lastRenderedPageBreak/>
        <w:t>months of lockdown, an 80% increase</w:t>
      </w:r>
      <w:r w:rsidR="002F1F2E" w:rsidRPr="008B7AA7">
        <w:rPr>
          <w:sz w:val="36"/>
          <w:szCs w:val="36"/>
        </w:rPr>
        <w:t xml:space="preserve"> on</w:t>
      </w:r>
      <w:r w:rsidRPr="008B7AA7">
        <w:rPr>
          <w:sz w:val="36"/>
          <w:szCs w:val="36"/>
        </w:rPr>
        <w:t xml:space="preserve"> pre-Covid figures.</w:t>
      </w:r>
      <w:r w:rsidRPr="008B7AA7">
        <w:rPr>
          <w:rStyle w:val="FootnoteReference"/>
          <w:sz w:val="36"/>
          <w:szCs w:val="36"/>
        </w:rPr>
        <w:footnoteReference w:id="11"/>
      </w:r>
      <w:r w:rsidRPr="008B7AA7">
        <w:rPr>
          <w:sz w:val="36"/>
          <w:szCs w:val="36"/>
        </w:rPr>
        <w:t xml:space="preserve"> </w:t>
      </w:r>
      <w:r w:rsidR="008E530E" w:rsidRPr="008B7AA7">
        <w:rPr>
          <w:sz w:val="36"/>
          <w:szCs w:val="36"/>
        </w:rPr>
        <w:t>Respect</w:t>
      </w:r>
      <w:r w:rsidR="002B0D34" w:rsidRPr="008B7AA7">
        <w:rPr>
          <w:sz w:val="36"/>
          <w:szCs w:val="36"/>
        </w:rPr>
        <w:t xml:space="preserve">, which runs a helpline for perpetrators worried about their behaviour, </w:t>
      </w:r>
      <w:r w:rsidR="008E530E" w:rsidRPr="008B7AA7">
        <w:rPr>
          <w:sz w:val="36"/>
          <w:szCs w:val="36"/>
        </w:rPr>
        <w:t>reported that</w:t>
      </w:r>
      <w:r w:rsidR="00EA7584" w:rsidRPr="008B7AA7">
        <w:rPr>
          <w:sz w:val="36"/>
          <w:szCs w:val="36"/>
        </w:rPr>
        <w:t xml:space="preserve"> the first month of lockdown alone </w:t>
      </w:r>
      <w:r w:rsidR="00221598" w:rsidRPr="008B7AA7">
        <w:rPr>
          <w:sz w:val="36"/>
          <w:szCs w:val="36"/>
        </w:rPr>
        <w:t>saw</w:t>
      </w:r>
      <w:r w:rsidR="00B13C63">
        <w:rPr>
          <w:sz w:val="36"/>
          <w:szCs w:val="36"/>
        </w:rPr>
        <w:t>:</w:t>
      </w:r>
    </w:p>
    <w:p w14:paraId="13B622FA" w14:textId="78D60563" w:rsidR="00B13C63" w:rsidRDefault="00221598" w:rsidP="003C68D4">
      <w:pPr>
        <w:pStyle w:val="ListParagraph"/>
        <w:numPr>
          <w:ilvl w:val="0"/>
          <w:numId w:val="2"/>
        </w:numPr>
        <w:spacing w:before="120"/>
        <w:contextualSpacing w:val="0"/>
        <w:rPr>
          <w:sz w:val="36"/>
          <w:szCs w:val="36"/>
        </w:rPr>
      </w:pPr>
      <w:r w:rsidRPr="003C68D4">
        <w:rPr>
          <w:sz w:val="36"/>
          <w:szCs w:val="36"/>
        </w:rPr>
        <w:t xml:space="preserve">an increase </w:t>
      </w:r>
      <w:r w:rsidR="008E530E" w:rsidRPr="003C68D4">
        <w:rPr>
          <w:sz w:val="36"/>
          <w:szCs w:val="36"/>
        </w:rPr>
        <w:t>in calls by 67%</w:t>
      </w:r>
    </w:p>
    <w:p w14:paraId="4082486F" w14:textId="45999B07" w:rsidR="00B13C63" w:rsidRDefault="008E530E" w:rsidP="003C68D4">
      <w:pPr>
        <w:pStyle w:val="ListParagraph"/>
        <w:numPr>
          <w:ilvl w:val="0"/>
          <w:numId w:val="2"/>
        </w:numPr>
        <w:rPr>
          <w:sz w:val="36"/>
          <w:szCs w:val="36"/>
        </w:rPr>
      </w:pPr>
      <w:r w:rsidRPr="003C68D4">
        <w:rPr>
          <w:sz w:val="36"/>
          <w:szCs w:val="36"/>
        </w:rPr>
        <w:t>emails by 185%</w:t>
      </w:r>
    </w:p>
    <w:p w14:paraId="2AFE18DF" w14:textId="30DD4352" w:rsidR="00B13C63" w:rsidRDefault="008E530E" w:rsidP="003C68D4">
      <w:pPr>
        <w:pStyle w:val="ListParagraph"/>
        <w:numPr>
          <w:ilvl w:val="0"/>
          <w:numId w:val="2"/>
        </w:numPr>
        <w:rPr>
          <w:sz w:val="36"/>
          <w:szCs w:val="36"/>
        </w:rPr>
      </w:pPr>
      <w:r w:rsidRPr="003C68D4">
        <w:rPr>
          <w:sz w:val="36"/>
          <w:szCs w:val="36"/>
        </w:rPr>
        <w:t xml:space="preserve">webchats by 2,200% </w:t>
      </w:r>
    </w:p>
    <w:p w14:paraId="7BDB07AA" w14:textId="336C6A38" w:rsidR="00221598" w:rsidRPr="003C68D4" w:rsidRDefault="008E530E" w:rsidP="003C68D4">
      <w:pPr>
        <w:pStyle w:val="ListParagraph"/>
        <w:numPr>
          <w:ilvl w:val="0"/>
          <w:numId w:val="2"/>
        </w:numPr>
        <w:rPr>
          <w:sz w:val="36"/>
          <w:szCs w:val="36"/>
        </w:rPr>
      </w:pPr>
      <w:r w:rsidRPr="003C68D4">
        <w:rPr>
          <w:sz w:val="36"/>
          <w:szCs w:val="36"/>
        </w:rPr>
        <w:t>and website visitors by 581%</w:t>
      </w:r>
      <w:r w:rsidR="002B0D34" w:rsidRPr="003C68D4">
        <w:rPr>
          <w:sz w:val="36"/>
          <w:szCs w:val="36"/>
        </w:rPr>
        <w:t xml:space="preserve"> from the start of lockdown</w:t>
      </w:r>
      <w:r w:rsidRPr="008B7AA7">
        <w:rPr>
          <w:rStyle w:val="FootnoteReference"/>
          <w:sz w:val="36"/>
          <w:szCs w:val="36"/>
        </w:rPr>
        <w:footnoteReference w:id="12"/>
      </w:r>
    </w:p>
    <w:p w14:paraId="2897880B" w14:textId="6E8D5D0F" w:rsidR="00825693" w:rsidRPr="008B7AA7" w:rsidRDefault="00825693" w:rsidP="008E530E">
      <w:pPr>
        <w:rPr>
          <w:sz w:val="36"/>
          <w:szCs w:val="36"/>
        </w:rPr>
      </w:pPr>
    </w:p>
    <w:p w14:paraId="7AA65B7A" w14:textId="77777777" w:rsidR="001C2CD5" w:rsidRPr="00711F89" w:rsidRDefault="001C2CD5" w:rsidP="001C2CD5">
      <w:pPr>
        <w:rPr>
          <w:sz w:val="36"/>
          <w:szCs w:val="36"/>
        </w:rPr>
      </w:pPr>
      <w:r w:rsidRPr="00711F89">
        <w:rPr>
          <w:sz w:val="36"/>
          <w:szCs w:val="36"/>
        </w:rPr>
        <w:t>For so-called “honour-based abuse” and forced marriage, Karma Nirvana reported a 162% average increase in caseloads by services surveyed during the first few months of the pandemic.</w:t>
      </w:r>
      <w:r w:rsidRPr="00711F89">
        <w:rPr>
          <w:sz w:val="36"/>
          <w:szCs w:val="36"/>
          <w:vertAlign w:val="superscript"/>
        </w:rPr>
        <w:footnoteReference w:id="13"/>
      </w:r>
      <w:r w:rsidRPr="00711F89">
        <w:rPr>
          <w:sz w:val="36"/>
          <w:szCs w:val="36"/>
        </w:rPr>
        <w:t xml:space="preserve"> Safety4Sisters also reported a “deepening of complexity of cases”, in addition to an increase in demand.</w:t>
      </w:r>
      <w:r w:rsidRPr="00711F89">
        <w:rPr>
          <w:sz w:val="36"/>
          <w:szCs w:val="36"/>
          <w:vertAlign w:val="superscript"/>
        </w:rPr>
        <w:footnoteReference w:id="14"/>
      </w:r>
    </w:p>
    <w:p w14:paraId="5B105486" w14:textId="77777777" w:rsidR="001C2CD5" w:rsidRPr="00711F89" w:rsidRDefault="001C2CD5" w:rsidP="001C2CD5">
      <w:pPr>
        <w:rPr>
          <w:sz w:val="36"/>
          <w:szCs w:val="36"/>
        </w:rPr>
      </w:pPr>
    </w:p>
    <w:p w14:paraId="1C87869A" w14:textId="77777777" w:rsidR="001C2CD5" w:rsidRPr="00711F89" w:rsidRDefault="001C2CD5" w:rsidP="001C2CD5">
      <w:pPr>
        <w:rPr>
          <w:sz w:val="36"/>
          <w:szCs w:val="36"/>
        </w:rPr>
      </w:pPr>
      <w:r w:rsidRPr="00711F89">
        <w:rPr>
          <w:sz w:val="36"/>
          <w:szCs w:val="36"/>
        </w:rPr>
        <w:t xml:space="preserve">This research found an increase in domestic abuse and a decrease in victim-survivors of so-called “honour-based abuse” forced marriage and female genital mutilation (FGM) coming forward. At the same time, their research also saw a reduction in so-called “honour-based abuse”, FGM and forced marriage </w:t>
      </w:r>
      <w:r w:rsidRPr="00711F89">
        <w:rPr>
          <w:sz w:val="36"/>
          <w:szCs w:val="36"/>
        </w:rPr>
        <w:lastRenderedPageBreak/>
        <w:t>referrals from safeguarding professionals, including police, teachers, and social workers during lockdown compared with pre-pandemic levels.</w:t>
      </w:r>
      <w:r w:rsidRPr="00711F89">
        <w:rPr>
          <w:sz w:val="36"/>
          <w:szCs w:val="36"/>
          <w:vertAlign w:val="superscript"/>
        </w:rPr>
        <w:footnoteReference w:id="15"/>
      </w:r>
      <w:r w:rsidRPr="00711F89">
        <w:rPr>
          <w:sz w:val="36"/>
          <w:szCs w:val="36"/>
        </w:rPr>
        <w:t xml:space="preserve"> </w:t>
      </w:r>
    </w:p>
    <w:p w14:paraId="45DFDDCD" w14:textId="1F70A8B2" w:rsidR="00042A59" w:rsidRPr="008B7AA7" w:rsidRDefault="00042A59" w:rsidP="00A8207B">
      <w:pPr>
        <w:rPr>
          <w:sz w:val="36"/>
          <w:szCs w:val="36"/>
        </w:rPr>
      </w:pPr>
    </w:p>
    <w:p w14:paraId="7AE86E38" w14:textId="4BAB6349" w:rsidR="00EC7B1D" w:rsidRPr="008B7AA7" w:rsidRDefault="00042A59" w:rsidP="00EC7B1D">
      <w:pPr>
        <w:rPr>
          <w:sz w:val="36"/>
          <w:szCs w:val="36"/>
        </w:rPr>
      </w:pPr>
      <w:r w:rsidRPr="008B7AA7">
        <w:rPr>
          <w:sz w:val="36"/>
          <w:szCs w:val="36"/>
        </w:rPr>
        <w:t>Recent research by FORWARD</w:t>
      </w:r>
      <w:r w:rsidR="00EC7B1D" w:rsidRPr="008B7AA7">
        <w:rPr>
          <w:sz w:val="36"/>
          <w:szCs w:val="36"/>
        </w:rPr>
        <w:t xml:space="preserve"> into the impact of FGM safeguarding in Bristol</w:t>
      </w:r>
      <w:r w:rsidR="00EC7B1D" w:rsidRPr="008B7AA7">
        <w:rPr>
          <w:rStyle w:val="FootnoteReference"/>
          <w:sz w:val="36"/>
          <w:szCs w:val="36"/>
        </w:rPr>
        <w:footnoteReference w:id="16"/>
      </w:r>
      <w:r w:rsidR="00EC7B1D" w:rsidRPr="008B7AA7">
        <w:rPr>
          <w:sz w:val="36"/>
          <w:szCs w:val="36"/>
        </w:rPr>
        <w:t xml:space="preserve"> found that these policies could have inadvertently increased the scrutiny, suspicion and stigmatisation experienced by parents and families in many areas of their lives, from school, to healthcare, to overseas travel. Furthermore, the research suggested that these policies could be having “profound” impact on society, including “mental health and access to quality healthcare,</w:t>
      </w:r>
    </w:p>
    <w:p w14:paraId="40048390" w14:textId="4B3F6973" w:rsidR="00042A59" w:rsidRPr="008B7AA7" w:rsidRDefault="00EC7B1D" w:rsidP="00EC7B1D">
      <w:pPr>
        <w:rPr>
          <w:sz w:val="36"/>
          <w:szCs w:val="36"/>
        </w:rPr>
      </w:pPr>
      <w:r w:rsidRPr="008B7AA7">
        <w:rPr>
          <w:sz w:val="36"/>
          <w:szCs w:val="36"/>
        </w:rPr>
        <w:t>to the racism experienced by the African diaspora communities.”</w:t>
      </w:r>
      <w:r w:rsidRPr="008B7AA7">
        <w:rPr>
          <w:rStyle w:val="FootnoteReference"/>
          <w:sz w:val="36"/>
          <w:szCs w:val="36"/>
        </w:rPr>
        <w:footnoteReference w:id="17"/>
      </w:r>
    </w:p>
    <w:p w14:paraId="51F8ACF2" w14:textId="12E8B60C" w:rsidR="00533A55" w:rsidRPr="008B7AA7" w:rsidRDefault="00533A55">
      <w:pPr>
        <w:rPr>
          <w:sz w:val="36"/>
          <w:szCs w:val="36"/>
        </w:rPr>
      </w:pPr>
    </w:p>
    <w:p w14:paraId="049CB105" w14:textId="344F5724" w:rsidR="00533A55" w:rsidRPr="00BD133E" w:rsidRDefault="00533A55" w:rsidP="00A752B9">
      <w:pPr>
        <w:rPr>
          <w:b/>
          <w:bCs/>
          <w:sz w:val="36"/>
          <w:szCs w:val="36"/>
        </w:rPr>
      </w:pPr>
      <w:r w:rsidRPr="00BD133E">
        <w:rPr>
          <w:b/>
          <w:bCs/>
          <w:sz w:val="36"/>
          <w:szCs w:val="36"/>
        </w:rPr>
        <w:t>Access to refuge accommodation</w:t>
      </w:r>
    </w:p>
    <w:p w14:paraId="68B4F484" w14:textId="499EF372" w:rsidR="00466D68" w:rsidRPr="008B7AA7" w:rsidRDefault="00C2549C" w:rsidP="00466D68">
      <w:pPr>
        <w:rPr>
          <w:sz w:val="36"/>
          <w:szCs w:val="36"/>
        </w:rPr>
      </w:pPr>
      <w:r w:rsidRPr="008B7AA7">
        <w:rPr>
          <w:sz w:val="36"/>
          <w:szCs w:val="36"/>
        </w:rPr>
        <w:t xml:space="preserve">Lockdowns and </w:t>
      </w:r>
      <w:r w:rsidR="00F46C00" w:rsidRPr="008B7AA7">
        <w:rPr>
          <w:sz w:val="36"/>
          <w:szCs w:val="36"/>
        </w:rPr>
        <w:t xml:space="preserve">changing </w:t>
      </w:r>
      <w:r w:rsidRPr="008B7AA7">
        <w:rPr>
          <w:sz w:val="36"/>
          <w:szCs w:val="36"/>
        </w:rPr>
        <w:t>restrictions</w:t>
      </w:r>
      <w:r w:rsidR="00466D68" w:rsidRPr="008B7AA7">
        <w:rPr>
          <w:sz w:val="36"/>
          <w:szCs w:val="36"/>
        </w:rPr>
        <w:t xml:space="preserve"> resulted in surges </w:t>
      </w:r>
      <w:r w:rsidRPr="008B7AA7">
        <w:rPr>
          <w:sz w:val="36"/>
          <w:szCs w:val="36"/>
        </w:rPr>
        <w:t>and sustained high</w:t>
      </w:r>
      <w:r w:rsidR="00466D68" w:rsidRPr="008B7AA7">
        <w:rPr>
          <w:sz w:val="36"/>
          <w:szCs w:val="36"/>
        </w:rPr>
        <w:t xml:space="preserve"> demand for VAWG support services which </w:t>
      </w:r>
      <w:r w:rsidRPr="008B7AA7">
        <w:rPr>
          <w:sz w:val="36"/>
          <w:szCs w:val="36"/>
        </w:rPr>
        <w:t>are</w:t>
      </w:r>
      <w:r w:rsidR="00466D68" w:rsidRPr="008B7AA7">
        <w:rPr>
          <w:sz w:val="36"/>
          <w:szCs w:val="36"/>
        </w:rPr>
        <w:t xml:space="preserve"> likely to continue </w:t>
      </w:r>
      <w:r w:rsidR="00DC60AB" w:rsidRPr="008B7AA7">
        <w:rPr>
          <w:sz w:val="36"/>
          <w:szCs w:val="36"/>
        </w:rPr>
        <w:t xml:space="preserve">through </w:t>
      </w:r>
      <w:r w:rsidR="00466D68" w:rsidRPr="008B7AA7">
        <w:rPr>
          <w:sz w:val="36"/>
          <w:szCs w:val="36"/>
        </w:rPr>
        <w:t xml:space="preserve">2021. </w:t>
      </w:r>
      <w:r w:rsidR="00DC60AB" w:rsidRPr="008B7AA7">
        <w:rPr>
          <w:sz w:val="36"/>
          <w:szCs w:val="36"/>
        </w:rPr>
        <w:t>Research</w:t>
      </w:r>
      <w:r w:rsidR="00466D68" w:rsidRPr="008B7AA7">
        <w:rPr>
          <w:sz w:val="36"/>
          <w:szCs w:val="36"/>
        </w:rPr>
        <w:t xml:space="preserve"> by Women’s Aid showed a 40.6% reduction in refuge vacancies in England between 23 March and 31 May, compared to the same period in 2019. </w:t>
      </w:r>
      <w:r w:rsidRPr="008B7AA7">
        <w:rPr>
          <w:sz w:val="36"/>
          <w:szCs w:val="36"/>
        </w:rPr>
        <w:t>One reason for this was a</w:t>
      </w:r>
      <w:r w:rsidR="00466D68" w:rsidRPr="008B7AA7">
        <w:rPr>
          <w:sz w:val="36"/>
          <w:szCs w:val="36"/>
        </w:rPr>
        <w:t xml:space="preserve"> </w:t>
      </w:r>
      <w:r w:rsidRPr="008B7AA7">
        <w:rPr>
          <w:sz w:val="36"/>
          <w:szCs w:val="36"/>
        </w:rPr>
        <w:t xml:space="preserve">chronic </w:t>
      </w:r>
      <w:r w:rsidR="00466D68" w:rsidRPr="008B7AA7">
        <w:rPr>
          <w:sz w:val="36"/>
          <w:szCs w:val="36"/>
        </w:rPr>
        <w:t>lack of suitable move–on accommodation and concerns regarding managing the spread of the virus.</w:t>
      </w:r>
      <w:r w:rsidR="00466D68" w:rsidRPr="008B7AA7">
        <w:rPr>
          <w:rStyle w:val="FootnoteReference"/>
          <w:sz w:val="36"/>
          <w:szCs w:val="36"/>
        </w:rPr>
        <w:footnoteReference w:id="18"/>
      </w:r>
      <w:r w:rsidR="00466D68" w:rsidRPr="008B7AA7">
        <w:rPr>
          <w:sz w:val="36"/>
          <w:szCs w:val="36"/>
        </w:rPr>
        <w:t xml:space="preserve"> </w:t>
      </w:r>
    </w:p>
    <w:p w14:paraId="790CADC0" w14:textId="77777777" w:rsidR="00466D68" w:rsidRPr="008B7AA7" w:rsidRDefault="00466D68">
      <w:pPr>
        <w:rPr>
          <w:sz w:val="36"/>
          <w:szCs w:val="36"/>
        </w:rPr>
      </w:pPr>
    </w:p>
    <w:p w14:paraId="486D3529" w14:textId="6F744393" w:rsidR="00221598" w:rsidRPr="008B7AA7" w:rsidRDefault="00533A55">
      <w:pPr>
        <w:rPr>
          <w:sz w:val="36"/>
          <w:szCs w:val="36"/>
        </w:rPr>
      </w:pPr>
      <w:r w:rsidRPr="008B7AA7">
        <w:rPr>
          <w:sz w:val="36"/>
          <w:szCs w:val="36"/>
        </w:rPr>
        <w:t>Being able to access refuge accommodation during Covid-19 has been a particularly acute problem for migrant women</w:t>
      </w:r>
      <w:r w:rsidR="00466D68" w:rsidRPr="008B7AA7">
        <w:rPr>
          <w:sz w:val="36"/>
          <w:szCs w:val="36"/>
        </w:rPr>
        <w:t xml:space="preserve"> with No Recourse to Public Funds (NRPF).</w:t>
      </w:r>
      <w:r w:rsidR="00462306" w:rsidRPr="008B7AA7">
        <w:rPr>
          <w:sz w:val="36"/>
          <w:szCs w:val="36"/>
        </w:rPr>
        <w:t xml:space="preserve"> </w:t>
      </w:r>
      <w:r w:rsidR="001C2CD5" w:rsidRPr="00711F89">
        <w:rPr>
          <w:sz w:val="36"/>
          <w:szCs w:val="36"/>
        </w:rPr>
        <w:t>Safety4Sisters reported that 100% of the women with NRPF that were referred to them and wanted a refuge space were refused due to their NRPF conditions.</w:t>
      </w:r>
      <w:r w:rsidR="001C2CD5" w:rsidRPr="00711F89">
        <w:rPr>
          <w:sz w:val="36"/>
          <w:szCs w:val="36"/>
          <w:vertAlign w:val="superscript"/>
        </w:rPr>
        <w:footnoteReference w:id="19"/>
      </w:r>
      <w:r w:rsidR="001C2CD5">
        <w:rPr>
          <w:sz w:val="36"/>
          <w:szCs w:val="36"/>
        </w:rPr>
        <w:t xml:space="preserve"> </w:t>
      </w:r>
      <w:r w:rsidR="00221598" w:rsidRPr="008B7AA7">
        <w:rPr>
          <w:sz w:val="36"/>
          <w:szCs w:val="36"/>
        </w:rPr>
        <w:t xml:space="preserve">Currently </w:t>
      </w:r>
      <w:r w:rsidR="00D35D60" w:rsidRPr="008B7AA7">
        <w:rPr>
          <w:sz w:val="36"/>
          <w:szCs w:val="36"/>
        </w:rPr>
        <w:t>only 5</w:t>
      </w:r>
      <w:r w:rsidR="00221598" w:rsidRPr="008B7AA7">
        <w:rPr>
          <w:sz w:val="36"/>
          <w:szCs w:val="36"/>
        </w:rPr>
        <w:t>% of refuge accommodation is available to migrant women with NRPF</w:t>
      </w:r>
      <w:r w:rsidR="00B13C63">
        <w:rPr>
          <w:sz w:val="36"/>
          <w:szCs w:val="36"/>
        </w:rPr>
        <w:t xml:space="preserve"> </w:t>
      </w:r>
      <w:r w:rsidR="00B13C63" w:rsidRPr="00B13C63">
        <w:rPr>
          <w:sz w:val="36"/>
          <w:szCs w:val="36"/>
        </w:rPr>
        <w:t>because they do not have access to housing support</w:t>
      </w:r>
      <w:r w:rsidR="00221598" w:rsidRPr="008B7AA7">
        <w:rPr>
          <w:sz w:val="36"/>
          <w:szCs w:val="36"/>
        </w:rPr>
        <w:t>.</w:t>
      </w:r>
      <w:r w:rsidR="00D35D60" w:rsidRPr="008B7AA7">
        <w:rPr>
          <w:rStyle w:val="FootnoteReference"/>
          <w:sz w:val="36"/>
          <w:szCs w:val="36"/>
        </w:rPr>
        <w:footnoteReference w:id="20"/>
      </w:r>
      <w:r w:rsidR="00221598" w:rsidRPr="008B7AA7">
        <w:rPr>
          <w:sz w:val="36"/>
          <w:szCs w:val="36"/>
        </w:rPr>
        <w:t xml:space="preserve"> Refuges that are able to take in migrant women are typically refuges run </w:t>
      </w:r>
      <w:r w:rsidR="009F6A3F">
        <w:rPr>
          <w:sz w:val="36"/>
          <w:szCs w:val="36"/>
        </w:rPr>
        <w:t>“</w:t>
      </w:r>
      <w:r w:rsidR="00221598" w:rsidRPr="008B7AA7">
        <w:rPr>
          <w:sz w:val="36"/>
          <w:szCs w:val="36"/>
        </w:rPr>
        <w:t>by and for</w:t>
      </w:r>
      <w:r w:rsidR="009F6A3F">
        <w:rPr>
          <w:sz w:val="36"/>
          <w:szCs w:val="36"/>
        </w:rPr>
        <w:t>”</w:t>
      </w:r>
      <w:r w:rsidR="00221598" w:rsidRPr="008B7AA7">
        <w:rPr>
          <w:sz w:val="36"/>
          <w:szCs w:val="36"/>
        </w:rPr>
        <w:t xml:space="preserve"> Black and minoritised women who can provide </w:t>
      </w:r>
      <w:r w:rsidR="00462306" w:rsidRPr="008B7AA7">
        <w:rPr>
          <w:sz w:val="36"/>
          <w:szCs w:val="36"/>
        </w:rPr>
        <w:t xml:space="preserve">relevant </w:t>
      </w:r>
      <w:r w:rsidR="00221598" w:rsidRPr="008B7AA7">
        <w:rPr>
          <w:sz w:val="36"/>
          <w:szCs w:val="36"/>
        </w:rPr>
        <w:t>specialis</w:t>
      </w:r>
      <w:r w:rsidR="00C2549C" w:rsidRPr="008B7AA7">
        <w:rPr>
          <w:sz w:val="36"/>
          <w:szCs w:val="36"/>
        </w:rPr>
        <w:t>ms and additional</w:t>
      </w:r>
      <w:r w:rsidR="00221598" w:rsidRPr="008B7AA7">
        <w:rPr>
          <w:sz w:val="36"/>
          <w:szCs w:val="36"/>
        </w:rPr>
        <w:t xml:space="preserve"> support</w:t>
      </w:r>
      <w:r w:rsidR="00462306" w:rsidRPr="008B7AA7">
        <w:rPr>
          <w:sz w:val="36"/>
          <w:szCs w:val="36"/>
        </w:rPr>
        <w:t>.</w:t>
      </w:r>
      <w:r w:rsidR="00221598" w:rsidRPr="008B7AA7">
        <w:rPr>
          <w:sz w:val="36"/>
          <w:szCs w:val="36"/>
        </w:rPr>
        <w:t xml:space="preserve"> However, </w:t>
      </w:r>
      <w:r w:rsidR="00E9587F" w:rsidRPr="008B7AA7">
        <w:rPr>
          <w:sz w:val="36"/>
          <w:szCs w:val="36"/>
        </w:rPr>
        <w:t xml:space="preserve">unequal </w:t>
      </w:r>
      <w:r w:rsidR="00221598" w:rsidRPr="008B7AA7">
        <w:rPr>
          <w:sz w:val="36"/>
          <w:szCs w:val="36"/>
        </w:rPr>
        <w:t>commissioning practices have meant that these services are increasingly decommissioned</w:t>
      </w:r>
      <w:r w:rsidR="00466D68" w:rsidRPr="008B7AA7">
        <w:rPr>
          <w:sz w:val="36"/>
          <w:szCs w:val="36"/>
        </w:rPr>
        <w:t xml:space="preserve">. </w:t>
      </w:r>
      <w:r w:rsidR="00D35D60" w:rsidRPr="008B7AA7">
        <w:rPr>
          <w:sz w:val="36"/>
          <w:szCs w:val="36"/>
        </w:rPr>
        <w:t>50% of B</w:t>
      </w:r>
      <w:r w:rsidRPr="008B7AA7">
        <w:rPr>
          <w:sz w:val="36"/>
          <w:szCs w:val="36"/>
        </w:rPr>
        <w:t>lack and minoritised</w:t>
      </w:r>
      <w:r w:rsidR="00D35D60" w:rsidRPr="008B7AA7">
        <w:rPr>
          <w:sz w:val="36"/>
          <w:szCs w:val="36"/>
        </w:rPr>
        <w:t xml:space="preserve"> </w:t>
      </w:r>
      <w:r w:rsidR="00FD60F2" w:rsidRPr="008B7AA7">
        <w:rPr>
          <w:sz w:val="36"/>
          <w:szCs w:val="36"/>
        </w:rPr>
        <w:t xml:space="preserve">women’s </w:t>
      </w:r>
      <w:r w:rsidR="00D35D60" w:rsidRPr="008B7AA7">
        <w:rPr>
          <w:sz w:val="36"/>
          <w:szCs w:val="36"/>
        </w:rPr>
        <w:t>specialist refuges having been forced to close or have been taken over by a larger provider due to lack of funding in the last decade, whilst others continue to operate without any local government support</w:t>
      </w:r>
      <w:r w:rsidR="00221598" w:rsidRPr="008B7AA7">
        <w:rPr>
          <w:sz w:val="36"/>
          <w:szCs w:val="36"/>
        </w:rPr>
        <w:t>.</w:t>
      </w:r>
      <w:r w:rsidR="00D35D60" w:rsidRPr="008B7AA7">
        <w:rPr>
          <w:rStyle w:val="FootnoteReference"/>
          <w:sz w:val="36"/>
          <w:szCs w:val="36"/>
        </w:rPr>
        <w:footnoteReference w:id="21"/>
      </w:r>
      <w:r w:rsidR="00221598" w:rsidRPr="008B7AA7">
        <w:rPr>
          <w:sz w:val="36"/>
          <w:szCs w:val="36"/>
        </w:rPr>
        <w:t xml:space="preserve"> </w:t>
      </w:r>
    </w:p>
    <w:p w14:paraId="62DE9010" w14:textId="0F49A2FC" w:rsidR="00533A55" w:rsidRPr="008B7AA7" w:rsidRDefault="00533A55">
      <w:pPr>
        <w:rPr>
          <w:sz w:val="36"/>
          <w:szCs w:val="36"/>
        </w:rPr>
      </w:pPr>
    </w:p>
    <w:p w14:paraId="16FE69FA" w14:textId="18370F9F" w:rsidR="00533A55" w:rsidRPr="008B7AA7" w:rsidRDefault="00533A55">
      <w:pPr>
        <w:rPr>
          <w:sz w:val="36"/>
          <w:szCs w:val="36"/>
        </w:rPr>
      </w:pPr>
      <w:r w:rsidRPr="008B7AA7">
        <w:rPr>
          <w:sz w:val="36"/>
          <w:szCs w:val="36"/>
        </w:rPr>
        <w:t xml:space="preserve">For disabled women, who are twice as likely to experience domestic abuse than non-disabled women, the paucity of appropriate refuge accommodation is even more sharply felt as less than 1% of refuges are wheelchair accessible and Deaf women or women </w:t>
      </w:r>
      <w:r w:rsidR="00FA36A9" w:rsidRPr="008B7AA7">
        <w:rPr>
          <w:sz w:val="36"/>
          <w:szCs w:val="36"/>
        </w:rPr>
        <w:t xml:space="preserve">who face </w:t>
      </w:r>
      <w:r w:rsidRPr="008B7AA7">
        <w:rPr>
          <w:sz w:val="36"/>
          <w:szCs w:val="36"/>
        </w:rPr>
        <w:t xml:space="preserve">communication </w:t>
      </w:r>
      <w:r w:rsidR="00FA36A9" w:rsidRPr="008B7AA7">
        <w:rPr>
          <w:sz w:val="36"/>
          <w:szCs w:val="36"/>
        </w:rPr>
        <w:t xml:space="preserve">barriers </w:t>
      </w:r>
      <w:r w:rsidRPr="008B7AA7">
        <w:rPr>
          <w:sz w:val="36"/>
          <w:szCs w:val="36"/>
        </w:rPr>
        <w:t>have reported being refused access to refuge on account of health and safety concerns.</w:t>
      </w:r>
    </w:p>
    <w:p w14:paraId="35C9EFB0" w14:textId="1EFD0F40" w:rsidR="00533A55" w:rsidRPr="008B7AA7" w:rsidRDefault="00533A55">
      <w:pPr>
        <w:rPr>
          <w:sz w:val="36"/>
          <w:szCs w:val="36"/>
        </w:rPr>
      </w:pPr>
    </w:p>
    <w:p w14:paraId="16DD1F99" w14:textId="77777777" w:rsidR="00B73B41" w:rsidRDefault="00B73B41">
      <w:pPr>
        <w:rPr>
          <w:b/>
          <w:bCs/>
          <w:sz w:val="36"/>
          <w:szCs w:val="36"/>
        </w:rPr>
      </w:pPr>
      <w:r>
        <w:rPr>
          <w:b/>
          <w:bCs/>
          <w:sz w:val="36"/>
          <w:szCs w:val="36"/>
        </w:rPr>
        <w:br w:type="page"/>
      </w:r>
    </w:p>
    <w:p w14:paraId="6D3EDBB2" w14:textId="58D24CE7" w:rsidR="00533A55" w:rsidRPr="00BD133E" w:rsidRDefault="00533A55" w:rsidP="00A752B9">
      <w:pPr>
        <w:rPr>
          <w:b/>
          <w:bCs/>
          <w:sz w:val="36"/>
          <w:szCs w:val="36"/>
        </w:rPr>
      </w:pPr>
      <w:r w:rsidRPr="00BD133E">
        <w:rPr>
          <w:b/>
          <w:bCs/>
          <w:sz w:val="36"/>
          <w:szCs w:val="36"/>
        </w:rPr>
        <w:lastRenderedPageBreak/>
        <w:t>Sexual Violence</w:t>
      </w:r>
    </w:p>
    <w:p w14:paraId="3A05D9A2" w14:textId="6C6023D2" w:rsidR="00A5242C" w:rsidRPr="008B7AA7" w:rsidRDefault="00533A55">
      <w:pPr>
        <w:rPr>
          <w:sz w:val="36"/>
          <w:szCs w:val="36"/>
        </w:rPr>
      </w:pPr>
      <w:r w:rsidRPr="008B7AA7">
        <w:rPr>
          <w:sz w:val="36"/>
          <w:szCs w:val="36"/>
        </w:rPr>
        <w:t xml:space="preserve">Changes to how </w:t>
      </w:r>
      <w:r w:rsidR="001C2CD5" w:rsidRPr="00711F89">
        <w:rPr>
          <w:sz w:val="36"/>
          <w:szCs w:val="36"/>
        </w:rPr>
        <w:t xml:space="preserve">Criminal Prosecution Service (CPS) </w:t>
      </w:r>
      <w:r w:rsidR="001C2CD5" w:rsidRPr="008B7AA7">
        <w:rPr>
          <w:sz w:val="36"/>
          <w:szCs w:val="36"/>
        </w:rPr>
        <w:t xml:space="preserve"> </w:t>
      </w:r>
      <w:r w:rsidRPr="008B7AA7">
        <w:rPr>
          <w:sz w:val="36"/>
          <w:szCs w:val="36"/>
        </w:rPr>
        <w:t xml:space="preserve"> data is presented, being now released on a quarterly rather than annual basis,</w:t>
      </w:r>
      <w:r w:rsidR="00EC7B1D" w:rsidRPr="008B7AA7">
        <w:rPr>
          <w:rStyle w:val="FootnoteReference"/>
          <w:sz w:val="36"/>
          <w:szCs w:val="36"/>
        </w:rPr>
        <w:footnoteReference w:id="22"/>
      </w:r>
      <w:r w:rsidRPr="008B7AA7">
        <w:rPr>
          <w:sz w:val="36"/>
          <w:szCs w:val="36"/>
        </w:rPr>
        <w:t xml:space="preserve"> </w:t>
      </w:r>
      <w:r w:rsidR="00BE31A0" w:rsidRPr="008B7AA7">
        <w:rPr>
          <w:sz w:val="36"/>
          <w:szCs w:val="36"/>
        </w:rPr>
        <w:t>has made it more challenging to</w:t>
      </w:r>
      <w:r w:rsidRPr="008B7AA7">
        <w:rPr>
          <w:sz w:val="36"/>
          <w:szCs w:val="36"/>
        </w:rPr>
        <w:t xml:space="preserve"> compare year on year data for rape prosecution rates. </w:t>
      </w:r>
      <w:r w:rsidR="00BE31A0" w:rsidRPr="008B7AA7">
        <w:rPr>
          <w:sz w:val="36"/>
          <w:szCs w:val="36"/>
        </w:rPr>
        <w:t xml:space="preserve">The number of rape prosecutions decreased by more than 50% in just two years, between 2016/17 and 2018/19 which was a record decline.  Although there has been a very slight improvement since then, we are still seeing a worryingly low proportion of cases </w:t>
      </w:r>
      <w:r w:rsidR="00462306" w:rsidRPr="008B7AA7">
        <w:rPr>
          <w:sz w:val="36"/>
          <w:szCs w:val="36"/>
        </w:rPr>
        <w:t xml:space="preserve">being </w:t>
      </w:r>
      <w:r w:rsidR="00BE31A0" w:rsidRPr="008B7AA7">
        <w:rPr>
          <w:sz w:val="36"/>
          <w:szCs w:val="36"/>
        </w:rPr>
        <w:t xml:space="preserve">charged.  </w:t>
      </w:r>
      <w:r w:rsidR="003E2D4E" w:rsidRPr="008B7AA7">
        <w:rPr>
          <w:sz w:val="36"/>
          <w:szCs w:val="36"/>
          <w:lang w:val="en"/>
        </w:rPr>
        <w:t xml:space="preserve">In </w:t>
      </w:r>
      <w:r w:rsidR="00BE31A0" w:rsidRPr="008B7AA7">
        <w:rPr>
          <w:sz w:val="36"/>
          <w:szCs w:val="36"/>
        </w:rPr>
        <w:t xml:space="preserve">2019/20 reported </w:t>
      </w:r>
      <w:r w:rsidRPr="008B7AA7">
        <w:rPr>
          <w:sz w:val="36"/>
          <w:szCs w:val="36"/>
        </w:rPr>
        <w:t xml:space="preserve">rapes </w:t>
      </w:r>
      <w:r w:rsidR="00BE31A0" w:rsidRPr="008B7AA7">
        <w:rPr>
          <w:sz w:val="36"/>
          <w:szCs w:val="36"/>
        </w:rPr>
        <w:t>stood at 55,259</w:t>
      </w:r>
      <w:r w:rsidRPr="008B7AA7">
        <w:rPr>
          <w:sz w:val="36"/>
          <w:szCs w:val="36"/>
        </w:rPr>
        <w:t xml:space="preserve"> but there were only 2,102 prosecutions and 1,439 convictions.</w:t>
      </w:r>
      <w:r w:rsidRPr="008B7AA7">
        <w:rPr>
          <w:rStyle w:val="FootnoteReference"/>
          <w:sz w:val="36"/>
          <w:szCs w:val="36"/>
        </w:rPr>
        <w:footnoteReference w:id="23"/>
      </w:r>
      <w:r w:rsidRPr="008B7AA7">
        <w:rPr>
          <w:sz w:val="36"/>
          <w:szCs w:val="36"/>
        </w:rPr>
        <w:t xml:space="preserve"> EVAW believes that </w:t>
      </w:r>
      <w:r w:rsidR="00A5242C" w:rsidRPr="008B7AA7">
        <w:rPr>
          <w:sz w:val="36"/>
          <w:szCs w:val="36"/>
        </w:rPr>
        <w:t xml:space="preserve">this level of system collapse </w:t>
      </w:r>
      <w:r w:rsidRPr="008B7AA7">
        <w:rPr>
          <w:sz w:val="36"/>
          <w:szCs w:val="36"/>
        </w:rPr>
        <w:t xml:space="preserve">amounts to the </w:t>
      </w:r>
      <w:r w:rsidR="00A5242C" w:rsidRPr="008B7AA7">
        <w:rPr>
          <w:sz w:val="36"/>
          <w:szCs w:val="36"/>
        </w:rPr>
        <w:t xml:space="preserve">effective </w:t>
      </w:r>
      <w:r w:rsidRPr="008B7AA7">
        <w:rPr>
          <w:sz w:val="36"/>
          <w:szCs w:val="36"/>
        </w:rPr>
        <w:t>decriminalisation of rape</w:t>
      </w:r>
      <w:r w:rsidR="00EC7B1D" w:rsidRPr="008B7AA7">
        <w:rPr>
          <w:sz w:val="36"/>
          <w:szCs w:val="36"/>
        </w:rPr>
        <w:t>.</w:t>
      </w:r>
      <w:r w:rsidR="00EC7B1D" w:rsidRPr="008B7AA7">
        <w:rPr>
          <w:rStyle w:val="FootnoteReference"/>
          <w:sz w:val="36"/>
          <w:szCs w:val="36"/>
        </w:rPr>
        <w:footnoteReference w:id="24"/>
      </w:r>
      <w:r w:rsidRPr="008B7AA7">
        <w:rPr>
          <w:sz w:val="36"/>
          <w:szCs w:val="36"/>
        </w:rPr>
        <w:t xml:space="preserve"> </w:t>
      </w:r>
      <w:r w:rsidR="003E2D4E" w:rsidRPr="008B7AA7">
        <w:rPr>
          <w:sz w:val="36"/>
          <w:szCs w:val="36"/>
        </w:rPr>
        <w:t xml:space="preserve"> </w:t>
      </w:r>
    </w:p>
    <w:p w14:paraId="1CB69254" w14:textId="23FE679F" w:rsidR="00533A55" w:rsidRPr="008B7AA7" w:rsidRDefault="00533A55">
      <w:pPr>
        <w:rPr>
          <w:sz w:val="36"/>
          <w:szCs w:val="36"/>
        </w:rPr>
      </w:pPr>
      <w:r w:rsidRPr="008B7AA7">
        <w:rPr>
          <w:sz w:val="36"/>
          <w:szCs w:val="36"/>
        </w:rPr>
        <w:t>The impact of Covid-19 will be felt by rape victim</w:t>
      </w:r>
      <w:r w:rsidR="004E60A3" w:rsidRPr="008B7AA7">
        <w:rPr>
          <w:sz w:val="36"/>
          <w:szCs w:val="36"/>
        </w:rPr>
        <w:t>-</w:t>
      </w:r>
      <w:r w:rsidRPr="008B7AA7">
        <w:rPr>
          <w:sz w:val="36"/>
          <w:szCs w:val="36"/>
        </w:rPr>
        <w:t>survivors going through the criminal justice system for years to come as the pandemic has resulted in backlog</w:t>
      </w:r>
      <w:r w:rsidR="00BE31A0" w:rsidRPr="008B7AA7">
        <w:rPr>
          <w:sz w:val="36"/>
          <w:szCs w:val="36"/>
        </w:rPr>
        <w:t>s</w:t>
      </w:r>
      <w:r w:rsidRPr="008B7AA7">
        <w:rPr>
          <w:sz w:val="36"/>
          <w:szCs w:val="36"/>
        </w:rPr>
        <w:t xml:space="preserve"> and delays in the system. In September 2020 the courts backlog was reported to be 43,676 cases and rising</w:t>
      </w:r>
      <w:r w:rsidRPr="008B7AA7">
        <w:rPr>
          <w:rStyle w:val="FootnoteReference"/>
          <w:sz w:val="36"/>
          <w:szCs w:val="36"/>
        </w:rPr>
        <w:footnoteReference w:id="25"/>
      </w:r>
      <w:r w:rsidR="00BE31A0" w:rsidRPr="008B7AA7">
        <w:rPr>
          <w:sz w:val="36"/>
          <w:szCs w:val="36"/>
        </w:rPr>
        <w:t xml:space="preserve"> sparking concerns amongst women’s groups that </w:t>
      </w:r>
      <w:r w:rsidR="0002676D" w:rsidRPr="008B7AA7">
        <w:rPr>
          <w:sz w:val="36"/>
          <w:szCs w:val="36"/>
        </w:rPr>
        <w:t>rape and other sexual</w:t>
      </w:r>
      <w:r w:rsidR="00BE31A0" w:rsidRPr="008B7AA7">
        <w:rPr>
          <w:sz w:val="36"/>
          <w:szCs w:val="36"/>
        </w:rPr>
        <w:t xml:space="preserve"> violence </w:t>
      </w:r>
      <w:r w:rsidR="0002676D" w:rsidRPr="008B7AA7">
        <w:rPr>
          <w:sz w:val="36"/>
          <w:szCs w:val="36"/>
        </w:rPr>
        <w:t xml:space="preserve">crimes </w:t>
      </w:r>
      <w:r w:rsidR="00BE31A0" w:rsidRPr="008B7AA7">
        <w:rPr>
          <w:sz w:val="36"/>
          <w:szCs w:val="36"/>
        </w:rPr>
        <w:t>w</w:t>
      </w:r>
      <w:r w:rsidR="0002676D" w:rsidRPr="008B7AA7">
        <w:rPr>
          <w:sz w:val="36"/>
          <w:szCs w:val="36"/>
        </w:rPr>
        <w:t>ere</w:t>
      </w:r>
      <w:r w:rsidR="00BE31A0" w:rsidRPr="008B7AA7">
        <w:rPr>
          <w:sz w:val="36"/>
          <w:szCs w:val="36"/>
        </w:rPr>
        <w:t xml:space="preserve"> becoming ever </w:t>
      </w:r>
      <w:r w:rsidR="00BE31A0" w:rsidRPr="008B7AA7">
        <w:rPr>
          <w:sz w:val="36"/>
          <w:szCs w:val="36"/>
        </w:rPr>
        <w:lastRenderedPageBreak/>
        <w:t>harde</w:t>
      </w:r>
      <w:r w:rsidR="00CB46CE" w:rsidRPr="008B7AA7">
        <w:rPr>
          <w:sz w:val="36"/>
          <w:szCs w:val="36"/>
        </w:rPr>
        <w:t>r</w:t>
      </w:r>
      <w:r w:rsidR="00BE31A0" w:rsidRPr="008B7AA7">
        <w:rPr>
          <w:sz w:val="36"/>
          <w:szCs w:val="36"/>
        </w:rPr>
        <w:t xml:space="preserve"> to prosecute</w:t>
      </w:r>
      <w:r w:rsidR="0002676D" w:rsidRPr="008B7AA7">
        <w:rPr>
          <w:sz w:val="36"/>
          <w:szCs w:val="36"/>
        </w:rPr>
        <w:t>.</w:t>
      </w:r>
      <w:r w:rsidR="00BE31A0" w:rsidRPr="008B7AA7">
        <w:rPr>
          <w:sz w:val="36"/>
          <w:szCs w:val="36"/>
        </w:rPr>
        <w:t xml:space="preserve"> </w:t>
      </w:r>
      <w:r w:rsidR="00265685" w:rsidRPr="008B7AA7">
        <w:rPr>
          <w:sz w:val="36"/>
          <w:szCs w:val="36"/>
        </w:rPr>
        <w:t xml:space="preserve"> </w:t>
      </w:r>
      <w:r w:rsidR="00265685" w:rsidRPr="008B7AA7">
        <w:rPr>
          <w:sz w:val="36"/>
          <w:szCs w:val="36"/>
          <w:lang w:val="en-US"/>
        </w:rPr>
        <w:t>This also results in increased caseload volumes for specialist sexual violence and abuse services, who retain individual clients over longer periods of time whilst also having to manage new clients.</w:t>
      </w:r>
    </w:p>
    <w:p w14:paraId="47254093" w14:textId="7B2B2A01" w:rsidR="00533A55" w:rsidRPr="008B7AA7" w:rsidRDefault="00533A55">
      <w:pPr>
        <w:rPr>
          <w:sz w:val="36"/>
          <w:szCs w:val="36"/>
        </w:rPr>
      </w:pPr>
    </w:p>
    <w:p w14:paraId="41F76A10" w14:textId="55ACAC1A" w:rsidR="00533A55" w:rsidRPr="008B7AA7" w:rsidRDefault="00533A55">
      <w:pPr>
        <w:rPr>
          <w:sz w:val="36"/>
          <w:szCs w:val="36"/>
        </w:rPr>
      </w:pPr>
      <w:r w:rsidRPr="008B7AA7">
        <w:rPr>
          <w:sz w:val="36"/>
          <w:szCs w:val="36"/>
        </w:rPr>
        <w:t>Disaggregated data by ethnicity is not available for rape prosecution rates so it is difficult to get a full picture of what is happening specifically with rape cases brought by Black and minoritised women</w:t>
      </w:r>
      <w:r w:rsidR="00A5242C" w:rsidRPr="008B7AA7">
        <w:rPr>
          <w:sz w:val="36"/>
          <w:szCs w:val="36"/>
        </w:rPr>
        <w:t xml:space="preserve"> who face additional hurdles in accessing justice but experience </w:t>
      </w:r>
      <w:r w:rsidR="00CB46CE" w:rsidRPr="008B7AA7">
        <w:rPr>
          <w:sz w:val="36"/>
          <w:szCs w:val="36"/>
        </w:rPr>
        <w:t>disproportionate</w:t>
      </w:r>
      <w:r w:rsidR="00A5242C" w:rsidRPr="008B7AA7">
        <w:rPr>
          <w:sz w:val="36"/>
          <w:szCs w:val="36"/>
        </w:rPr>
        <w:t xml:space="preserve"> rates of victimisation.  </w:t>
      </w:r>
      <w:r w:rsidRPr="008B7AA7">
        <w:rPr>
          <w:sz w:val="36"/>
          <w:szCs w:val="36"/>
        </w:rPr>
        <w:t>Mixed race women experience the highest levels prevalence of rape of any ethnic group</w:t>
      </w:r>
      <w:r w:rsidR="00466D68" w:rsidRPr="008B7AA7">
        <w:rPr>
          <w:sz w:val="36"/>
          <w:szCs w:val="36"/>
        </w:rPr>
        <w:t xml:space="preserve"> (3.4%) and over four times the level of prevalence for white women (0.8%)</w:t>
      </w:r>
      <w:r w:rsidR="00467202" w:rsidRPr="008B7AA7">
        <w:rPr>
          <w:sz w:val="36"/>
          <w:szCs w:val="36"/>
        </w:rPr>
        <w:t>, and prevalence among Black women is double (1.6%) that for white women</w:t>
      </w:r>
      <w:r w:rsidRPr="008B7AA7">
        <w:rPr>
          <w:sz w:val="36"/>
          <w:szCs w:val="36"/>
        </w:rPr>
        <w:t>.</w:t>
      </w:r>
      <w:r w:rsidRPr="008B7AA7">
        <w:rPr>
          <w:rStyle w:val="FootnoteReference"/>
          <w:sz w:val="36"/>
          <w:szCs w:val="36"/>
        </w:rPr>
        <w:footnoteReference w:id="26"/>
      </w:r>
      <w:r w:rsidRPr="008B7AA7">
        <w:rPr>
          <w:sz w:val="36"/>
          <w:szCs w:val="36"/>
        </w:rPr>
        <w:t xml:space="preserve"> </w:t>
      </w:r>
    </w:p>
    <w:p w14:paraId="79ED4B54" w14:textId="77777777" w:rsidR="00533A55" w:rsidRPr="008B7AA7" w:rsidRDefault="00533A55">
      <w:pPr>
        <w:rPr>
          <w:sz w:val="36"/>
          <w:szCs w:val="36"/>
        </w:rPr>
      </w:pPr>
    </w:p>
    <w:p w14:paraId="442F403D" w14:textId="3F4B1C89" w:rsidR="00533A55" w:rsidRPr="008B7AA7" w:rsidRDefault="00A5242C">
      <w:pPr>
        <w:rPr>
          <w:sz w:val="36"/>
          <w:szCs w:val="36"/>
        </w:rPr>
      </w:pPr>
      <w:r w:rsidRPr="008B7AA7">
        <w:rPr>
          <w:sz w:val="36"/>
          <w:szCs w:val="36"/>
        </w:rPr>
        <w:t>Official</w:t>
      </w:r>
      <w:r w:rsidR="00533A55" w:rsidRPr="008B7AA7">
        <w:rPr>
          <w:sz w:val="36"/>
          <w:szCs w:val="36"/>
        </w:rPr>
        <w:t xml:space="preserve"> figures </w:t>
      </w:r>
      <w:r w:rsidR="003E2D4E" w:rsidRPr="008B7AA7">
        <w:rPr>
          <w:sz w:val="36"/>
          <w:szCs w:val="36"/>
        </w:rPr>
        <w:t>are limited</w:t>
      </w:r>
      <w:r w:rsidR="00533A55" w:rsidRPr="008B7AA7">
        <w:rPr>
          <w:sz w:val="36"/>
          <w:szCs w:val="36"/>
        </w:rPr>
        <w:t xml:space="preserve"> as </w:t>
      </w:r>
      <w:r w:rsidR="00467202" w:rsidRPr="008B7AA7">
        <w:rPr>
          <w:sz w:val="36"/>
          <w:szCs w:val="36"/>
        </w:rPr>
        <w:t>sexual violence</w:t>
      </w:r>
      <w:r w:rsidR="00533A55" w:rsidRPr="008B7AA7">
        <w:rPr>
          <w:sz w:val="36"/>
          <w:szCs w:val="36"/>
        </w:rPr>
        <w:t xml:space="preserve"> experienced by older and disabled women in institutions and care homes are not included. This </w:t>
      </w:r>
      <w:r w:rsidR="001C2CD5" w:rsidRPr="00711F89">
        <w:rPr>
          <w:sz w:val="36"/>
          <w:szCs w:val="36"/>
        </w:rPr>
        <w:t>erasure of older and disabled women</w:t>
      </w:r>
      <w:r w:rsidR="00533A55" w:rsidRPr="008B7AA7">
        <w:rPr>
          <w:sz w:val="36"/>
          <w:szCs w:val="36"/>
        </w:rPr>
        <w:t xml:space="preserve"> is particularly concerning since </w:t>
      </w:r>
      <w:r w:rsidR="00B13C63">
        <w:rPr>
          <w:sz w:val="36"/>
          <w:szCs w:val="36"/>
        </w:rPr>
        <w:t xml:space="preserve">what </w:t>
      </w:r>
      <w:r w:rsidR="00533A55" w:rsidRPr="008B7AA7">
        <w:rPr>
          <w:sz w:val="36"/>
          <w:szCs w:val="36"/>
        </w:rPr>
        <w:t>the latest ONS research</w:t>
      </w:r>
      <w:r w:rsidR="00B13C63">
        <w:rPr>
          <w:sz w:val="36"/>
          <w:szCs w:val="36"/>
        </w:rPr>
        <w:t xml:space="preserve"> does show</w:t>
      </w:r>
      <w:r w:rsidR="00533A55" w:rsidRPr="008B7AA7">
        <w:rPr>
          <w:sz w:val="36"/>
          <w:szCs w:val="36"/>
        </w:rPr>
        <w:t xml:space="preserve"> on prevalence of rape</w:t>
      </w:r>
      <w:r w:rsidR="00533A55" w:rsidRPr="008B7AA7">
        <w:rPr>
          <w:rStyle w:val="FootnoteReference"/>
          <w:sz w:val="36"/>
          <w:szCs w:val="36"/>
        </w:rPr>
        <w:footnoteReference w:id="27"/>
      </w:r>
      <w:r w:rsidR="00533A55" w:rsidRPr="008B7AA7">
        <w:rPr>
          <w:sz w:val="36"/>
          <w:szCs w:val="36"/>
        </w:rPr>
        <w:t xml:space="preserve"> shows that disabled women disproportionately experience sexual violence, with an average of 5.5% </w:t>
      </w:r>
      <w:r w:rsidR="003E2D4E" w:rsidRPr="008B7AA7">
        <w:rPr>
          <w:sz w:val="36"/>
          <w:szCs w:val="36"/>
        </w:rPr>
        <w:t xml:space="preserve">of </w:t>
      </w:r>
      <w:r w:rsidR="00533A55" w:rsidRPr="008B7AA7">
        <w:rPr>
          <w:sz w:val="36"/>
          <w:szCs w:val="36"/>
        </w:rPr>
        <w:t>victim</w:t>
      </w:r>
      <w:r w:rsidR="004E60A3" w:rsidRPr="008B7AA7">
        <w:rPr>
          <w:sz w:val="36"/>
          <w:szCs w:val="36"/>
        </w:rPr>
        <w:t>-</w:t>
      </w:r>
      <w:r w:rsidR="00533A55" w:rsidRPr="008B7AA7">
        <w:rPr>
          <w:sz w:val="36"/>
          <w:szCs w:val="36"/>
        </w:rPr>
        <w:t>survivors with longstanding illness/disabilities, as compared with 2.7% of those with n</w:t>
      </w:r>
      <w:r w:rsidR="00467202" w:rsidRPr="008B7AA7">
        <w:rPr>
          <w:sz w:val="36"/>
          <w:szCs w:val="36"/>
        </w:rPr>
        <w:t>one</w:t>
      </w:r>
      <w:r w:rsidR="00533A55" w:rsidRPr="008B7AA7">
        <w:rPr>
          <w:sz w:val="36"/>
          <w:szCs w:val="36"/>
        </w:rPr>
        <w:t xml:space="preserve">.  </w:t>
      </w:r>
    </w:p>
    <w:p w14:paraId="2ADBBA59" w14:textId="4A88A0FA" w:rsidR="00533A55" w:rsidRPr="008B7AA7" w:rsidRDefault="00533A55">
      <w:pPr>
        <w:rPr>
          <w:sz w:val="36"/>
          <w:szCs w:val="36"/>
        </w:rPr>
      </w:pPr>
    </w:p>
    <w:p w14:paraId="76947CF2" w14:textId="187AA57F" w:rsidR="00533A55" w:rsidRPr="008B7AA7" w:rsidRDefault="00533A55" w:rsidP="00F6491F">
      <w:pPr>
        <w:widowControl w:val="0"/>
        <w:rPr>
          <w:sz w:val="36"/>
          <w:szCs w:val="36"/>
        </w:rPr>
      </w:pPr>
      <w:r w:rsidRPr="008B7AA7">
        <w:rPr>
          <w:sz w:val="36"/>
          <w:szCs w:val="36"/>
        </w:rPr>
        <w:t xml:space="preserve">Disabled women also face greater barriers to protection and justice </w:t>
      </w:r>
      <w:r w:rsidR="00B13C63" w:rsidRPr="00B13C63">
        <w:rPr>
          <w:sz w:val="36"/>
          <w:szCs w:val="36"/>
        </w:rPr>
        <w:t>due to infantilising and discriminatory stereotypes regarding competency which then results in undermining perceptions regarding their credibility when giving evidence.</w:t>
      </w:r>
      <w:r w:rsidR="00B13C63" w:rsidRPr="00B13C63">
        <w:rPr>
          <w:sz w:val="36"/>
          <w:szCs w:val="36"/>
          <w:vertAlign w:val="superscript"/>
        </w:rPr>
        <w:footnoteReference w:id="28"/>
      </w:r>
      <w:r w:rsidRPr="008B7AA7">
        <w:rPr>
          <w:sz w:val="36"/>
          <w:szCs w:val="36"/>
        </w:rPr>
        <w:t xml:space="preserve"> Changes to the criminal</w:t>
      </w:r>
      <w:r w:rsidR="001473AF">
        <w:rPr>
          <w:sz w:val="36"/>
          <w:szCs w:val="36"/>
        </w:rPr>
        <w:t xml:space="preserve"> </w:t>
      </w:r>
      <w:r w:rsidRPr="008B7AA7">
        <w:rPr>
          <w:sz w:val="36"/>
          <w:szCs w:val="36"/>
        </w:rPr>
        <w:t xml:space="preserve">justice system during the pandemic </w:t>
      </w:r>
      <w:r w:rsidR="00BA2CE2" w:rsidRPr="008B7AA7">
        <w:rPr>
          <w:sz w:val="36"/>
          <w:szCs w:val="36"/>
        </w:rPr>
        <w:lastRenderedPageBreak/>
        <w:t>could also</w:t>
      </w:r>
      <w:r w:rsidRPr="008B7AA7">
        <w:rPr>
          <w:sz w:val="36"/>
          <w:szCs w:val="36"/>
        </w:rPr>
        <w:t xml:space="preserve"> result in disproportionately poorer outcomes for disabled people</w:t>
      </w:r>
      <w:r w:rsidR="003E2D4E" w:rsidRPr="008B7AA7">
        <w:rPr>
          <w:sz w:val="36"/>
          <w:szCs w:val="36"/>
        </w:rPr>
        <w:t>,</w:t>
      </w:r>
      <w:r w:rsidRPr="008B7AA7">
        <w:rPr>
          <w:sz w:val="36"/>
          <w:szCs w:val="36"/>
        </w:rPr>
        <w:t xml:space="preserve"> as </w:t>
      </w:r>
      <w:r w:rsidR="00BA2CE2" w:rsidRPr="008B7AA7">
        <w:rPr>
          <w:sz w:val="36"/>
          <w:szCs w:val="36"/>
        </w:rPr>
        <w:t xml:space="preserve">suggested </w:t>
      </w:r>
      <w:r w:rsidR="003E2D4E" w:rsidRPr="008B7AA7">
        <w:rPr>
          <w:sz w:val="36"/>
          <w:szCs w:val="36"/>
        </w:rPr>
        <w:t xml:space="preserve">by </w:t>
      </w:r>
      <w:r w:rsidRPr="008B7AA7">
        <w:rPr>
          <w:sz w:val="36"/>
          <w:szCs w:val="36"/>
        </w:rPr>
        <w:t>the E</w:t>
      </w:r>
      <w:r w:rsidR="003E2D4E" w:rsidRPr="008B7AA7">
        <w:rPr>
          <w:sz w:val="36"/>
          <w:szCs w:val="36"/>
        </w:rPr>
        <w:t xml:space="preserve">quality and Human Rights Commission </w:t>
      </w:r>
      <w:r w:rsidR="00CB46CE" w:rsidRPr="008B7AA7">
        <w:rPr>
          <w:sz w:val="36"/>
          <w:szCs w:val="36"/>
        </w:rPr>
        <w:t xml:space="preserve">(EHRC) </w:t>
      </w:r>
      <w:r w:rsidR="00BA2CE2" w:rsidRPr="008B7AA7">
        <w:rPr>
          <w:sz w:val="36"/>
          <w:szCs w:val="36"/>
        </w:rPr>
        <w:t xml:space="preserve">who </w:t>
      </w:r>
      <w:r w:rsidR="00A55BF0" w:rsidRPr="008B7AA7">
        <w:rPr>
          <w:sz w:val="36"/>
          <w:szCs w:val="36"/>
        </w:rPr>
        <w:t xml:space="preserve">have </w:t>
      </w:r>
      <w:r w:rsidR="00BA2CE2" w:rsidRPr="008B7AA7">
        <w:rPr>
          <w:sz w:val="36"/>
          <w:szCs w:val="36"/>
        </w:rPr>
        <w:t xml:space="preserve">pointed out </w:t>
      </w:r>
      <w:r w:rsidRPr="008B7AA7">
        <w:rPr>
          <w:sz w:val="36"/>
          <w:szCs w:val="36"/>
        </w:rPr>
        <w:t>that the move to remote video-link court hearings could have disadvantaged disabled people.</w:t>
      </w:r>
      <w:r w:rsidRPr="008B7AA7">
        <w:rPr>
          <w:rStyle w:val="FootnoteReference"/>
          <w:sz w:val="36"/>
          <w:szCs w:val="36"/>
        </w:rPr>
        <w:footnoteReference w:id="29"/>
      </w:r>
      <w:r w:rsidRPr="008B7AA7">
        <w:rPr>
          <w:sz w:val="36"/>
          <w:szCs w:val="36"/>
        </w:rPr>
        <w:t xml:space="preserve"> </w:t>
      </w:r>
    </w:p>
    <w:p w14:paraId="545B1E6A" w14:textId="17B76551" w:rsidR="00221598" w:rsidRPr="008B7AA7" w:rsidRDefault="00221598" w:rsidP="00F6491F">
      <w:pPr>
        <w:widowControl w:val="0"/>
        <w:rPr>
          <w:sz w:val="36"/>
          <w:szCs w:val="36"/>
        </w:rPr>
      </w:pPr>
    </w:p>
    <w:p w14:paraId="71B687AD" w14:textId="298ED748" w:rsidR="00533A55" w:rsidRPr="00BD133E" w:rsidRDefault="00533A55" w:rsidP="00F6491F">
      <w:pPr>
        <w:widowControl w:val="0"/>
        <w:rPr>
          <w:b/>
          <w:bCs/>
          <w:sz w:val="36"/>
          <w:szCs w:val="36"/>
        </w:rPr>
      </w:pPr>
      <w:r w:rsidRPr="00BD133E">
        <w:rPr>
          <w:b/>
          <w:bCs/>
          <w:sz w:val="36"/>
          <w:szCs w:val="36"/>
        </w:rPr>
        <w:t>Child Sexual Abuse</w:t>
      </w:r>
    </w:p>
    <w:p w14:paraId="036A6350" w14:textId="7C8D5ED1" w:rsidR="00221598" w:rsidRPr="008B7AA7" w:rsidRDefault="00221598" w:rsidP="00F6491F">
      <w:pPr>
        <w:widowControl w:val="0"/>
        <w:rPr>
          <w:sz w:val="36"/>
          <w:szCs w:val="36"/>
        </w:rPr>
      </w:pPr>
      <w:r w:rsidRPr="008B7AA7">
        <w:rPr>
          <w:sz w:val="36"/>
          <w:szCs w:val="36"/>
        </w:rPr>
        <w:t xml:space="preserve">The impact of children being out of school for a significant part of the year </w:t>
      </w:r>
      <w:r w:rsidR="00265685" w:rsidRPr="008B7AA7">
        <w:rPr>
          <w:sz w:val="36"/>
          <w:szCs w:val="36"/>
        </w:rPr>
        <w:t>due to measures taken to stop the spread of Covid-19</w:t>
      </w:r>
      <w:r w:rsidR="00BA2CE2" w:rsidRPr="008B7AA7">
        <w:rPr>
          <w:sz w:val="36"/>
          <w:szCs w:val="36"/>
        </w:rPr>
        <w:t>,</w:t>
      </w:r>
      <w:r w:rsidR="00265685" w:rsidRPr="008B7AA7">
        <w:rPr>
          <w:sz w:val="36"/>
          <w:szCs w:val="36"/>
        </w:rPr>
        <w:t xml:space="preserve"> </w:t>
      </w:r>
      <w:r w:rsidRPr="008B7AA7">
        <w:rPr>
          <w:sz w:val="36"/>
          <w:szCs w:val="36"/>
        </w:rPr>
        <w:t>has meant a</w:t>
      </w:r>
      <w:r w:rsidR="00265685" w:rsidRPr="008B7AA7">
        <w:rPr>
          <w:sz w:val="36"/>
          <w:szCs w:val="36"/>
        </w:rPr>
        <w:t xml:space="preserve"> heightened</w:t>
      </w:r>
      <w:r w:rsidRPr="008B7AA7">
        <w:rPr>
          <w:sz w:val="36"/>
          <w:szCs w:val="36"/>
        </w:rPr>
        <w:t xml:space="preserve"> risk of abuse at home for girls who </w:t>
      </w:r>
      <w:r w:rsidR="00265685" w:rsidRPr="008B7AA7">
        <w:rPr>
          <w:sz w:val="36"/>
          <w:szCs w:val="36"/>
        </w:rPr>
        <w:t xml:space="preserve">are less able </w:t>
      </w:r>
      <w:r w:rsidRPr="008B7AA7">
        <w:rPr>
          <w:sz w:val="36"/>
          <w:szCs w:val="36"/>
        </w:rPr>
        <w:t>to disclose abuse to a trusted adult in school settings.</w:t>
      </w:r>
      <w:r w:rsidR="00533A55" w:rsidRPr="008B7AA7">
        <w:rPr>
          <w:sz w:val="36"/>
          <w:szCs w:val="36"/>
        </w:rPr>
        <w:t xml:space="preserve"> The National Crime Agency found in April </w:t>
      </w:r>
      <w:r w:rsidR="00265685" w:rsidRPr="008B7AA7">
        <w:rPr>
          <w:sz w:val="36"/>
          <w:szCs w:val="36"/>
        </w:rPr>
        <w:t xml:space="preserve">2020 </w:t>
      </w:r>
      <w:r w:rsidR="00533A55" w:rsidRPr="008B7AA7">
        <w:rPr>
          <w:sz w:val="36"/>
          <w:szCs w:val="36"/>
        </w:rPr>
        <w:t>that 300,000 people posed a physical or online sexual abuse threat to children, more than double the estimated 140,000 from the year before.</w:t>
      </w:r>
      <w:r w:rsidR="00533A55" w:rsidRPr="008B7AA7">
        <w:rPr>
          <w:rStyle w:val="FootnoteReference"/>
          <w:sz w:val="36"/>
          <w:szCs w:val="36"/>
        </w:rPr>
        <w:footnoteReference w:id="30"/>
      </w:r>
      <w:r w:rsidR="00533A55" w:rsidRPr="008B7AA7">
        <w:rPr>
          <w:sz w:val="36"/>
          <w:szCs w:val="36"/>
        </w:rPr>
        <w:t xml:space="preserve"> The Internet Watch Foundation reported 8.8m attempts to access child sexual abuse material had been made online in </w:t>
      </w:r>
      <w:r w:rsidR="00265685" w:rsidRPr="008B7AA7">
        <w:rPr>
          <w:sz w:val="36"/>
          <w:szCs w:val="36"/>
        </w:rPr>
        <w:t>one month alone</w:t>
      </w:r>
      <w:r w:rsidR="00533A55" w:rsidRPr="008B7AA7">
        <w:rPr>
          <w:sz w:val="36"/>
          <w:szCs w:val="36"/>
        </w:rPr>
        <w:t>.</w:t>
      </w:r>
      <w:r w:rsidR="00533A55" w:rsidRPr="008B7AA7">
        <w:rPr>
          <w:rStyle w:val="FootnoteReference"/>
          <w:sz w:val="36"/>
          <w:szCs w:val="36"/>
        </w:rPr>
        <w:footnoteReference w:id="31"/>
      </w:r>
      <w:r w:rsidR="00533A55" w:rsidRPr="008B7AA7">
        <w:rPr>
          <w:sz w:val="36"/>
          <w:szCs w:val="36"/>
        </w:rPr>
        <w:t xml:space="preserve"> </w:t>
      </w:r>
    </w:p>
    <w:p w14:paraId="6B9192CD" w14:textId="4AB9ACDF" w:rsidR="00533A55" w:rsidRPr="008B7AA7" w:rsidRDefault="00533A55" w:rsidP="00F6491F">
      <w:pPr>
        <w:widowControl w:val="0"/>
        <w:rPr>
          <w:sz w:val="36"/>
          <w:szCs w:val="36"/>
        </w:rPr>
      </w:pPr>
    </w:p>
    <w:p w14:paraId="0E77E0CC" w14:textId="2CD2D5D6" w:rsidR="00D11B03" w:rsidRPr="008B7AA7" w:rsidRDefault="00533A55" w:rsidP="00F6491F">
      <w:pPr>
        <w:widowControl w:val="0"/>
        <w:rPr>
          <w:sz w:val="36"/>
          <w:szCs w:val="36"/>
        </w:rPr>
      </w:pPr>
      <w:r w:rsidRPr="008B7AA7">
        <w:rPr>
          <w:sz w:val="36"/>
          <w:szCs w:val="36"/>
        </w:rPr>
        <w:t xml:space="preserve">The </w:t>
      </w:r>
      <w:r w:rsidR="00EA7584" w:rsidRPr="008B7AA7">
        <w:rPr>
          <w:sz w:val="36"/>
          <w:szCs w:val="36"/>
        </w:rPr>
        <w:t>Local Government Association</w:t>
      </w:r>
      <w:r w:rsidR="00C9674F" w:rsidRPr="008B7AA7">
        <w:rPr>
          <w:sz w:val="36"/>
          <w:szCs w:val="36"/>
        </w:rPr>
        <w:t xml:space="preserve"> found </w:t>
      </w:r>
      <w:r w:rsidR="00EA7584" w:rsidRPr="008B7AA7">
        <w:rPr>
          <w:sz w:val="36"/>
          <w:szCs w:val="36"/>
        </w:rPr>
        <w:t xml:space="preserve">that social care </w:t>
      </w:r>
      <w:r w:rsidR="00EA7584" w:rsidRPr="008B7AA7">
        <w:rPr>
          <w:sz w:val="36"/>
          <w:szCs w:val="36"/>
        </w:rPr>
        <w:lastRenderedPageBreak/>
        <w:t>referrals fell by nearly a fifth (18%).</w:t>
      </w:r>
      <w:r w:rsidR="00EA7584" w:rsidRPr="008B7AA7">
        <w:rPr>
          <w:rStyle w:val="FootnoteReference"/>
          <w:sz w:val="36"/>
          <w:szCs w:val="36"/>
        </w:rPr>
        <w:footnoteReference w:id="32"/>
      </w:r>
      <w:r w:rsidR="00EA7584" w:rsidRPr="008B7AA7">
        <w:rPr>
          <w:sz w:val="36"/>
          <w:szCs w:val="36"/>
        </w:rPr>
        <w:t xml:space="preserve"> This echoes the Children’s Commissioner’s suggest</w:t>
      </w:r>
      <w:r w:rsidR="00CA740A" w:rsidRPr="008B7AA7">
        <w:rPr>
          <w:sz w:val="36"/>
          <w:szCs w:val="36"/>
        </w:rPr>
        <w:t>ion</w:t>
      </w:r>
      <w:r w:rsidR="00EA7584" w:rsidRPr="008B7AA7">
        <w:rPr>
          <w:sz w:val="36"/>
          <w:szCs w:val="36"/>
        </w:rPr>
        <w:t xml:space="preserve"> that </w:t>
      </w:r>
      <w:r w:rsidR="00C9674F" w:rsidRPr="008B7AA7">
        <w:rPr>
          <w:sz w:val="36"/>
          <w:szCs w:val="36"/>
        </w:rPr>
        <w:t>children have become increasing</w:t>
      </w:r>
      <w:r w:rsidR="00265685" w:rsidRPr="008B7AA7">
        <w:rPr>
          <w:sz w:val="36"/>
          <w:szCs w:val="36"/>
        </w:rPr>
        <w:t>ly</w:t>
      </w:r>
      <w:r w:rsidR="00C9674F" w:rsidRPr="008B7AA7">
        <w:rPr>
          <w:sz w:val="36"/>
          <w:szCs w:val="36"/>
        </w:rPr>
        <w:t xml:space="preserve"> “invisible” and </w:t>
      </w:r>
      <w:r w:rsidR="00CA740A" w:rsidRPr="008B7AA7">
        <w:rPr>
          <w:sz w:val="36"/>
          <w:szCs w:val="36"/>
        </w:rPr>
        <w:t xml:space="preserve">are </w:t>
      </w:r>
      <w:r w:rsidR="00C9674F" w:rsidRPr="008B7AA7">
        <w:rPr>
          <w:sz w:val="36"/>
          <w:szCs w:val="36"/>
        </w:rPr>
        <w:t xml:space="preserve">not </w:t>
      </w:r>
      <w:r w:rsidR="00265685" w:rsidRPr="008B7AA7">
        <w:rPr>
          <w:sz w:val="36"/>
          <w:szCs w:val="36"/>
        </w:rPr>
        <w:t xml:space="preserve">able to </w:t>
      </w:r>
      <w:r w:rsidR="00C9674F" w:rsidRPr="008B7AA7">
        <w:rPr>
          <w:sz w:val="36"/>
          <w:szCs w:val="36"/>
        </w:rPr>
        <w:t>get the help they need.</w:t>
      </w:r>
      <w:r w:rsidR="00C9674F" w:rsidRPr="008B7AA7">
        <w:rPr>
          <w:rStyle w:val="FootnoteReference"/>
          <w:sz w:val="36"/>
          <w:szCs w:val="36"/>
        </w:rPr>
        <w:footnoteReference w:id="33"/>
      </w:r>
      <w:r w:rsidR="00C9674F" w:rsidRPr="008B7AA7">
        <w:rPr>
          <w:sz w:val="36"/>
          <w:szCs w:val="36"/>
        </w:rPr>
        <w:t xml:space="preserve"> A report by</w:t>
      </w:r>
      <w:r w:rsidRPr="008B7AA7">
        <w:rPr>
          <w:sz w:val="36"/>
          <w:szCs w:val="36"/>
        </w:rPr>
        <w:t xml:space="preserve"> </w:t>
      </w:r>
      <w:r w:rsidR="00265685" w:rsidRPr="008B7AA7">
        <w:rPr>
          <w:sz w:val="36"/>
          <w:szCs w:val="36"/>
        </w:rPr>
        <w:t xml:space="preserve">the </w:t>
      </w:r>
      <w:r w:rsidRPr="008B7AA7">
        <w:rPr>
          <w:sz w:val="36"/>
          <w:szCs w:val="36"/>
        </w:rPr>
        <w:t xml:space="preserve">National Youth Agency </w:t>
      </w:r>
      <w:r w:rsidR="00C9674F" w:rsidRPr="008B7AA7">
        <w:rPr>
          <w:sz w:val="36"/>
          <w:szCs w:val="36"/>
        </w:rPr>
        <w:t xml:space="preserve">also </w:t>
      </w:r>
      <w:r w:rsidRPr="008B7AA7">
        <w:rPr>
          <w:sz w:val="36"/>
          <w:szCs w:val="36"/>
        </w:rPr>
        <w:t>draws specific attention to the particular risks to girls and young women being recruited into gangs as they could ‘fall under the radar’ and move around with less visibility than young men during lockdown.</w:t>
      </w:r>
      <w:r w:rsidRPr="008B7AA7">
        <w:rPr>
          <w:rStyle w:val="FootnoteReference"/>
          <w:sz w:val="36"/>
          <w:szCs w:val="36"/>
        </w:rPr>
        <w:footnoteReference w:id="34"/>
      </w:r>
    </w:p>
    <w:p w14:paraId="70D22375" w14:textId="77777777" w:rsidR="001E5C6D" w:rsidRPr="008B7AA7" w:rsidRDefault="001E5C6D" w:rsidP="00F6491F">
      <w:pPr>
        <w:widowControl w:val="0"/>
        <w:rPr>
          <w:b/>
          <w:bCs/>
          <w:sz w:val="36"/>
          <w:szCs w:val="36"/>
          <w:u w:val="single"/>
        </w:rPr>
      </w:pPr>
    </w:p>
    <w:p w14:paraId="3A427A75" w14:textId="60D4E69F" w:rsidR="00221598" w:rsidRDefault="00D11B03" w:rsidP="00F6491F">
      <w:pPr>
        <w:widowControl w:val="0"/>
        <w:rPr>
          <w:b/>
          <w:bCs/>
          <w:sz w:val="36"/>
          <w:szCs w:val="36"/>
        </w:rPr>
      </w:pPr>
      <w:r w:rsidRPr="00BD133E">
        <w:rPr>
          <w:b/>
          <w:bCs/>
          <w:sz w:val="36"/>
          <w:szCs w:val="36"/>
        </w:rPr>
        <w:t>Online Abuse</w:t>
      </w:r>
    </w:p>
    <w:p w14:paraId="3905E2A8" w14:textId="7E1B8D0E" w:rsidR="00D11B03" w:rsidRPr="008B7AA7" w:rsidRDefault="00221598" w:rsidP="00F6491F">
      <w:pPr>
        <w:widowControl w:val="0"/>
        <w:rPr>
          <w:sz w:val="36"/>
          <w:szCs w:val="36"/>
        </w:rPr>
      </w:pPr>
      <w:r w:rsidRPr="008B7AA7">
        <w:rPr>
          <w:sz w:val="36"/>
          <w:szCs w:val="36"/>
        </w:rPr>
        <w:t xml:space="preserve">Covid-19 has thrown into sharp relief the fact our lives are increasingly lived online and that there can be no delineation between offline and online abuse against women. </w:t>
      </w:r>
      <w:r w:rsidR="00D11B03" w:rsidRPr="008B7AA7">
        <w:rPr>
          <w:sz w:val="36"/>
          <w:szCs w:val="36"/>
        </w:rPr>
        <w:t>In the months preceding the Covid-19 pandemic, 38% women and non-binary people surveyed reported experiencing online abuse, with Black and minoritised respondents reporting 50%. This increased to 42% of white respondents who had experienced online abuse during Covid-19 and 52% of Black and minoritised respondents.</w:t>
      </w:r>
      <w:r w:rsidR="00D11B03" w:rsidRPr="008B7AA7">
        <w:rPr>
          <w:rStyle w:val="FootnoteReference"/>
          <w:sz w:val="36"/>
          <w:szCs w:val="36"/>
        </w:rPr>
        <w:footnoteReference w:id="35"/>
      </w:r>
    </w:p>
    <w:p w14:paraId="60102D37" w14:textId="6230F929" w:rsidR="00D11B03" w:rsidRPr="008B7AA7" w:rsidRDefault="00D11B03" w:rsidP="00F6491F">
      <w:pPr>
        <w:widowControl w:val="0"/>
        <w:rPr>
          <w:sz w:val="36"/>
          <w:szCs w:val="36"/>
        </w:rPr>
      </w:pPr>
    </w:p>
    <w:p w14:paraId="09E87F1A" w14:textId="1E7F7FF4" w:rsidR="00221598" w:rsidRPr="008B7AA7" w:rsidRDefault="00D11B03" w:rsidP="00F6491F">
      <w:pPr>
        <w:widowControl w:val="0"/>
        <w:rPr>
          <w:sz w:val="36"/>
          <w:szCs w:val="36"/>
        </w:rPr>
      </w:pPr>
      <w:r w:rsidRPr="008B7AA7">
        <w:rPr>
          <w:sz w:val="36"/>
          <w:szCs w:val="36"/>
        </w:rPr>
        <w:t xml:space="preserve">Of respondents reporting online abuse, nearly half (48%) reported suffering from gender-based abuse which emphasises how online abuse against women exists as a form of VAWG. </w:t>
      </w:r>
      <w:r w:rsidR="00CB46CE" w:rsidRPr="008B7AA7">
        <w:rPr>
          <w:sz w:val="36"/>
          <w:szCs w:val="36"/>
        </w:rPr>
        <w:t>Further r</w:t>
      </w:r>
      <w:r w:rsidR="00E0563C" w:rsidRPr="008B7AA7">
        <w:rPr>
          <w:sz w:val="36"/>
          <w:szCs w:val="36"/>
        </w:rPr>
        <w:t>esearch by Women’s Aid found that 85% of women who experienced online abuse from partner or ex-partner said that it was part of the pattern of abuse they also experienced offline.</w:t>
      </w:r>
      <w:r w:rsidR="00E0563C" w:rsidRPr="008B7AA7">
        <w:rPr>
          <w:rStyle w:val="FootnoteReference"/>
          <w:sz w:val="36"/>
          <w:szCs w:val="36"/>
        </w:rPr>
        <w:footnoteReference w:id="36"/>
      </w:r>
      <w:r w:rsidR="00E0563C" w:rsidRPr="008B7AA7">
        <w:rPr>
          <w:sz w:val="36"/>
          <w:szCs w:val="36"/>
        </w:rPr>
        <w:t xml:space="preserve"> </w:t>
      </w:r>
      <w:r w:rsidR="00814558" w:rsidRPr="008B7AA7">
        <w:rPr>
          <w:sz w:val="36"/>
          <w:szCs w:val="36"/>
        </w:rPr>
        <w:t xml:space="preserve">Latest data on </w:t>
      </w:r>
      <w:r w:rsidR="00E0563C" w:rsidRPr="008B7AA7">
        <w:rPr>
          <w:sz w:val="36"/>
          <w:szCs w:val="36"/>
        </w:rPr>
        <w:t>image</w:t>
      </w:r>
      <w:r w:rsidR="00814558" w:rsidRPr="008B7AA7">
        <w:rPr>
          <w:sz w:val="36"/>
          <w:szCs w:val="36"/>
        </w:rPr>
        <w:t>-</w:t>
      </w:r>
      <w:r w:rsidR="00E0563C" w:rsidRPr="008B7AA7">
        <w:rPr>
          <w:sz w:val="36"/>
          <w:szCs w:val="36"/>
        </w:rPr>
        <w:t xml:space="preserve">based </w:t>
      </w:r>
      <w:r w:rsidR="00814558" w:rsidRPr="008B7AA7">
        <w:rPr>
          <w:sz w:val="36"/>
          <w:szCs w:val="36"/>
        </w:rPr>
        <w:t xml:space="preserve">abuse showed that 82% of prosecutions </w:t>
      </w:r>
      <w:r w:rsidR="00E0563C" w:rsidRPr="008B7AA7">
        <w:rPr>
          <w:sz w:val="36"/>
          <w:szCs w:val="36"/>
        </w:rPr>
        <w:t>were flagged as being domestic abuse-related</w:t>
      </w:r>
      <w:r w:rsidR="00814558" w:rsidRPr="008B7AA7">
        <w:rPr>
          <w:sz w:val="36"/>
          <w:szCs w:val="36"/>
        </w:rPr>
        <w:t>, further emphasising how online abuse is part of the continuum of VAWG.</w:t>
      </w:r>
      <w:r w:rsidR="00814558" w:rsidRPr="008B7AA7">
        <w:rPr>
          <w:rStyle w:val="FootnoteReference"/>
          <w:sz w:val="36"/>
          <w:szCs w:val="36"/>
        </w:rPr>
        <w:footnoteReference w:id="37"/>
      </w:r>
    </w:p>
    <w:p w14:paraId="64EDC811" w14:textId="3FF8C984" w:rsidR="00496F82" w:rsidRPr="008B7AA7" w:rsidRDefault="00496F82" w:rsidP="00F6491F">
      <w:pPr>
        <w:widowControl w:val="0"/>
        <w:rPr>
          <w:sz w:val="36"/>
          <w:szCs w:val="36"/>
        </w:rPr>
      </w:pPr>
    </w:p>
    <w:p w14:paraId="46579482" w14:textId="2C2CD55D" w:rsidR="00496F82" w:rsidRPr="00BD133E" w:rsidRDefault="00496F82" w:rsidP="00F6491F">
      <w:pPr>
        <w:widowControl w:val="0"/>
        <w:rPr>
          <w:b/>
          <w:bCs/>
          <w:sz w:val="36"/>
          <w:szCs w:val="36"/>
        </w:rPr>
      </w:pPr>
      <w:r w:rsidRPr="00BD133E">
        <w:rPr>
          <w:b/>
          <w:bCs/>
          <w:sz w:val="36"/>
          <w:szCs w:val="36"/>
        </w:rPr>
        <w:t>Perpetrator interventions</w:t>
      </w:r>
    </w:p>
    <w:p w14:paraId="5268EABC" w14:textId="399F6329" w:rsidR="00270881" w:rsidRPr="008B7AA7" w:rsidRDefault="00496F82" w:rsidP="00F6491F">
      <w:pPr>
        <w:widowControl w:val="0"/>
        <w:rPr>
          <w:sz w:val="36"/>
          <w:szCs w:val="36"/>
        </w:rPr>
      </w:pPr>
      <w:r w:rsidRPr="008B7AA7">
        <w:rPr>
          <w:sz w:val="36"/>
          <w:szCs w:val="36"/>
        </w:rPr>
        <w:t xml:space="preserve">A key part of ending of VAWG is </w:t>
      </w:r>
      <w:r w:rsidR="00270881" w:rsidRPr="008B7AA7">
        <w:rPr>
          <w:sz w:val="36"/>
          <w:szCs w:val="36"/>
        </w:rPr>
        <w:t>changing the abusive behaviour of perpetrators through safe, effective, survivor-focused interventions.</w:t>
      </w:r>
      <w:r w:rsidR="001E50CE" w:rsidRPr="008B7AA7">
        <w:rPr>
          <w:sz w:val="36"/>
          <w:szCs w:val="36"/>
        </w:rPr>
        <w:t xml:space="preserve"> </w:t>
      </w:r>
      <w:r w:rsidR="00270881" w:rsidRPr="008B7AA7">
        <w:rPr>
          <w:sz w:val="36"/>
          <w:szCs w:val="36"/>
        </w:rPr>
        <w:t xml:space="preserve">The Drive Project, an intervention designed to address the needs of high-harm, repeat perpetrators of domestic abuse, published the evaluation of its three-year pilot. Key findings from this pilot found </w:t>
      </w:r>
      <w:r w:rsidR="001E50CE" w:rsidRPr="008B7AA7">
        <w:rPr>
          <w:sz w:val="36"/>
          <w:szCs w:val="36"/>
        </w:rPr>
        <w:t>an</w:t>
      </w:r>
      <w:r w:rsidR="00270881" w:rsidRPr="008B7AA7">
        <w:rPr>
          <w:sz w:val="36"/>
          <w:szCs w:val="36"/>
        </w:rPr>
        <w:t xml:space="preserve"> 82% reduction in physical abuse, a</w:t>
      </w:r>
      <w:r w:rsidR="001E50CE" w:rsidRPr="008B7AA7">
        <w:rPr>
          <w:sz w:val="36"/>
          <w:szCs w:val="36"/>
        </w:rPr>
        <w:t>n</w:t>
      </w:r>
      <w:r w:rsidR="00270881" w:rsidRPr="008B7AA7">
        <w:rPr>
          <w:sz w:val="36"/>
          <w:szCs w:val="36"/>
        </w:rPr>
        <w:t xml:space="preserve"> 8</w:t>
      </w:r>
      <w:r w:rsidR="001F7571" w:rsidRPr="008B7AA7">
        <w:rPr>
          <w:sz w:val="36"/>
          <w:szCs w:val="36"/>
        </w:rPr>
        <w:t>8% in sexual abuse and that IDVAs reported a reduction in risk to victim</w:t>
      </w:r>
      <w:r w:rsidR="004E60A3" w:rsidRPr="008B7AA7">
        <w:rPr>
          <w:sz w:val="36"/>
          <w:szCs w:val="36"/>
        </w:rPr>
        <w:t>-</w:t>
      </w:r>
      <w:r w:rsidR="001F7571" w:rsidRPr="008B7AA7">
        <w:rPr>
          <w:sz w:val="36"/>
          <w:szCs w:val="36"/>
        </w:rPr>
        <w:t>survivors in 82% of cases.</w:t>
      </w:r>
      <w:r w:rsidR="001F7571" w:rsidRPr="008B7AA7">
        <w:rPr>
          <w:rStyle w:val="FootnoteReference"/>
          <w:sz w:val="36"/>
          <w:szCs w:val="36"/>
        </w:rPr>
        <w:footnoteReference w:id="38"/>
      </w:r>
    </w:p>
    <w:p w14:paraId="1DC0FA39" w14:textId="0F4C270A" w:rsidR="001F7571" w:rsidRPr="008B7AA7" w:rsidRDefault="001F7571" w:rsidP="00F6491F">
      <w:pPr>
        <w:widowControl w:val="0"/>
        <w:rPr>
          <w:sz w:val="36"/>
          <w:szCs w:val="36"/>
        </w:rPr>
      </w:pPr>
    </w:p>
    <w:p w14:paraId="7782654C" w14:textId="0A8B9A86" w:rsidR="001F7571" w:rsidRPr="008B7AA7" w:rsidRDefault="001F7571" w:rsidP="00F6491F">
      <w:pPr>
        <w:widowControl w:val="0"/>
        <w:rPr>
          <w:sz w:val="36"/>
          <w:szCs w:val="36"/>
        </w:rPr>
      </w:pPr>
      <w:r w:rsidRPr="008B7AA7">
        <w:rPr>
          <w:sz w:val="36"/>
          <w:szCs w:val="36"/>
        </w:rPr>
        <w:t>Research by the University of Suffolk and H.O.P.E. Training</w:t>
      </w:r>
      <w:r w:rsidR="00371EE2" w:rsidRPr="008B7AA7">
        <w:rPr>
          <w:rStyle w:val="FootnoteReference"/>
          <w:sz w:val="36"/>
          <w:szCs w:val="36"/>
        </w:rPr>
        <w:footnoteReference w:id="39"/>
      </w:r>
      <w:r w:rsidRPr="008B7AA7">
        <w:rPr>
          <w:sz w:val="36"/>
          <w:szCs w:val="36"/>
        </w:rPr>
        <w:t xml:space="preserve"> into responses to family and intimate relationship harm </w:t>
      </w:r>
      <w:r w:rsidR="003456C6" w:rsidRPr="008B7AA7">
        <w:rPr>
          <w:sz w:val="36"/>
          <w:szCs w:val="36"/>
        </w:rPr>
        <w:t xml:space="preserve">(including FGM and forced marriage) </w:t>
      </w:r>
      <w:r w:rsidRPr="008B7AA7">
        <w:rPr>
          <w:sz w:val="36"/>
          <w:szCs w:val="36"/>
        </w:rPr>
        <w:t>within Black and minoritised communities</w:t>
      </w:r>
      <w:r w:rsidR="00371EE2" w:rsidRPr="008B7AA7">
        <w:rPr>
          <w:sz w:val="36"/>
          <w:szCs w:val="36"/>
        </w:rPr>
        <w:t xml:space="preserve"> aimed to diversify the current body of research o</w:t>
      </w:r>
      <w:r w:rsidR="001C3356" w:rsidRPr="008B7AA7">
        <w:rPr>
          <w:sz w:val="36"/>
          <w:szCs w:val="36"/>
        </w:rPr>
        <w:t>n</w:t>
      </w:r>
      <w:r w:rsidR="00371EE2" w:rsidRPr="008B7AA7">
        <w:rPr>
          <w:sz w:val="36"/>
          <w:szCs w:val="36"/>
        </w:rPr>
        <w:t xml:space="preserve"> perpetrator interventions and to advise on the creation of an inclusive perpetrator strategy that is effective in ensuring all victims are protected. </w:t>
      </w:r>
      <w:r w:rsidR="000F6E37" w:rsidRPr="008B7AA7">
        <w:rPr>
          <w:sz w:val="36"/>
          <w:szCs w:val="36"/>
        </w:rPr>
        <w:t>The research</w:t>
      </w:r>
      <w:r w:rsidR="00371EE2" w:rsidRPr="008B7AA7">
        <w:rPr>
          <w:sz w:val="36"/>
          <w:szCs w:val="36"/>
        </w:rPr>
        <w:t xml:space="preserve"> surveyed nearly 140 individuals including practioners, policy-makers, and activists, </w:t>
      </w:r>
      <w:r w:rsidR="00814F7D" w:rsidRPr="008B7AA7">
        <w:rPr>
          <w:sz w:val="36"/>
          <w:szCs w:val="36"/>
        </w:rPr>
        <w:t xml:space="preserve">and found </w:t>
      </w:r>
      <w:r w:rsidR="00371EE2" w:rsidRPr="008B7AA7">
        <w:rPr>
          <w:sz w:val="36"/>
          <w:szCs w:val="36"/>
        </w:rPr>
        <w:t xml:space="preserve">that what is most needed for an effective community-based response from Black and minoritised </w:t>
      </w:r>
      <w:r w:rsidR="00CA740A" w:rsidRPr="008B7AA7">
        <w:rPr>
          <w:sz w:val="36"/>
          <w:szCs w:val="36"/>
        </w:rPr>
        <w:t>people</w:t>
      </w:r>
      <w:r w:rsidR="00371EE2" w:rsidRPr="008B7AA7">
        <w:rPr>
          <w:sz w:val="36"/>
          <w:szCs w:val="36"/>
        </w:rPr>
        <w:t xml:space="preserve"> using harmful behaviour were</w:t>
      </w:r>
      <w:r w:rsidR="00EC7B1D" w:rsidRPr="008B7AA7">
        <w:rPr>
          <w:sz w:val="36"/>
          <w:szCs w:val="36"/>
        </w:rPr>
        <w:t>:</w:t>
      </w:r>
      <w:r w:rsidR="00A324D2" w:rsidRPr="008B7AA7">
        <w:rPr>
          <w:sz w:val="36"/>
          <w:szCs w:val="36"/>
        </w:rPr>
        <w:t xml:space="preserve"> 1) facilitat</w:t>
      </w:r>
      <w:r w:rsidR="00371EE2" w:rsidRPr="008B7AA7">
        <w:rPr>
          <w:sz w:val="36"/>
          <w:szCs w:val="36"/>
        </w:rPr>
        <w:t>ors</w:t>
      </w:r>
      <w:r w:rsidR="00A324D2" w:rsidRPr="008B7AA7">
        <w:rPr>
          <w:sz w:val="36"/>
          <w:szCs w:val="36"/>
        </w:rPr>
        <w:t xml:space="preserve"> from Black and minoritised communities 2) culturally sensitive</w:t>
      </w:r>
      <w:r w:rsidR="00371EE2" w:rsidRPr="008B7AA7">
        <w:rPr>
          <w:sz w:val="36"/>
          <w:szCs w:val="36"/>
        </w:rPr>
        <w:t xml:space="preserve"> interventions</w:t>
      </w:r>
      <w:r w:rsidR="00A324D2" w:rsidRPr="008B7AA7">
        <w:rPr>
          <w:sz w:val="36"/>
          <w:szCs w:val="36"/>
        </w:rPr>
        <w:t xml:space="preserve"> and 3)</w:t>
      </w:r>
      <w:r w:rsidR="00371EE2" w:rsidRPr="008B7AA7">
        <w:rPr>
          <w:sz w:val="36"/>
          <w:szCs w:val="36"/>
        </w:rPr>
        <w:t xml:space="preserve"> funding for specialist organisations.</w:t>
      </w:r>
    </w:p>
    <w:p w14:paraId="112A9DC0" w14:textId="77777777" w:rsidR="00D35D60" w:rsidRPr="008B7AA7" w:rsidRDefault="00D35D60" w:rsidP="00F6491F">
      <w:pPr>
        <w:widowControl w:val="0"/>
        <w:rPr>
          <w:sz w:val="36"/>
          <w:szCs w:val="36"/>
        </w:rPr>
      </w:pPr>
    </w:p>
    <w:p w14:paraId="19991629" w14:textId="77777777" w:rsidR="001F7571" w:rsidRPr="00BD133E" w:rsidRDefault="001F7571" w:rsidP="00F6491F">
      <w:pPr>
        <w:widowControl w:val="0"/>
        <w:rPr>
          <w:b/>
          <w:bCs/>
          <w:sz w:val="36"/>
          <w:szCs w:val="36"/>
        </w:rPr>
      </w:pPr>
      <w:r w:rsidRPr="00BD133E">
        <w:rPr>
          <w:b/>
          <w:bCs/>
          <w:sz w:val="36"/>
          <w:szCs w:val="36"/>
        </w:rPr>
        <w:t>Health systems and VAWG during Covid-19</w:t>
      </w:r>
    </w:p>
    <w:p w14:paraId="20F3F086" w14:textId="070B00FC" w:rsidR="001F7571" w:rsidRPr="008B7AA7" w:rsidRDefault="001F7571" w:rsidP="00F6491F">
      <w:pPr>
        <w:widowControl w:val="0"/>
        <w:rPr>
          <w:sz w:val="36"/>
          <w:szCs w:val="36"/>
        </w:rPr>
      </w:pPr>
      <w:r w:rsidRPr="008B7AA7">
        <w:rPr>
          <w:sz w:val="36"/>
          <w:szCs w:val="36"/>
        </w:rPr>
        <w:t>During Covid-19 we saw a huge rise in hospital admissions for domestic and sexual violence, compared with previous years. Data showed that hospitals in England treated 1,012 female assault victim</w:t>
      </w:r>
      <w:r w:rsidR="004E60A3" w:rsidRPr="008B7AA7">
        <w:rPr>
          <w:sz w:val="36"/>
          <w:szCs w:val="36"/>
        </w:rPr>
        <w:t>-</w:t>
      </w:r>
      <w:r w:rsidRPr="008B7AA7">
        <w:rPr>
          <w:sz w:val="36"/>
          <w:szCs w:val="36"/>
        </w:rPr>
        <w:t>survivors in the year 2019-20 where the cause of admission was a form of maltreatment including physical or sexual abuse, torture or mental cruelty. This is an increase of 31% from the year 2015-16, when 774 cases were recorded.</w:t>
      </w:r>
      <w:r w:rsidRPr="008B7AA7">
        <w:rPr>
          <w:rStyle w:val="FootnoteReference"/>
          <w:sz w:val="36"/>
          <w:szCs w:val="36"/>
        </w:rPr>
        <w:footnoteReference w:id="40"/>
      </w:r>
    </w:p>
    <w:p w14:paraId="3F43B69F" w14:textId="5B81B211" w:rsidR="001F7571" w:rsidRPr="008B7AA7" w:rsidRDefault="001F7571" w:rsidP="00F6491F">
      <w:pPr>
        <w:widowControl w:val="0"/>
        <w:rPr>
          <w:sz w:val="36"/>
          <w:szCs w:val="36"/>
        </w:rPr>
      </w:pPr>
    </w:p>
    <w:p w14:paraId="4F4ED531" w14:textId="35B96ADE" w:rsidR="003E382E" w:rsidRPr="008B7AA7" w:rsidRDefault="000E71D5" w:rsidP="00F6491F">
      <w:pPr>
        <w:widowControl w:val="0"/>
        <w:rPr>
          <w:sz w:val="36"/>
          <w:szCs w:val="36"/>
        </w:rPr>
      </w:pPr>
      <w:r w:rsidRPr="008B7AA7">
        <w:rPr>
          <w:sz w:val="36"/>
          <w:szCs w:val="36"/>
        </w:rPr>
        <w:t xml:space="preserve">This </w:t>
      </w:r>
      <w:r w:rsidR="003E382E" w:rsidRPr="008B7AA7">
        <w:rPr>
          <w:sz w:val="36"/>
          <w:szCs w:val="36"/>
        </w:rPr>
        <w:t>year also saw the publication of key finding</w:t>
      </w:r>
      <w:r w:rsidR="00814F7D" w:rsidRPr="008B7AA7">
        <w:rPr>
          <w:sz w:val="36"/>
          <w:szCs w:val="36"/>
        </w:rPr>
        <w:t>s</w:t>
      </w:r>
      <w:r w:rsidR="003E382E" w:rsidRPr="008B7AA7">
        <w:rPr>
          <w:sz w:val="36"/>
          <w:szCs w:val="36"/>
        </w:rPr>
        <w:t xml:space="preserve"> of the Pathfinder project</w:t>
      </w:r>
      <w:r w:rsidR="009B483F" w:rsidRPr="008B7AA7">
        <w:rPr>
          <w:sz w:val="36"/>
          <w:szCs w:val="36"/>
        </w:rPr>
        <w:t>, led by Standing Together</w:t>
      </w:r>
      <w:r w:rsidR="003E382E" w:rsidRPr="008B7AA7">
        <w:rPr>
          <w:sz w:val="36"/>
          <w:szCs w:val="36"/>
        </w:rPr>
        <w:t>, a 3-year pilot that brought together expertise and funding for specialist domestic abuse interventions to embed a ‘Whole Health’ approach to domestic abuse in 8 sites across England.</w:t>
      </w:r>
      <w:r w:rsidR="003E382E" w:rsidRPr="008B7AA7">
        <w:rPr>
          <w:rStyle w:val="FootnoteReference"/>
          <w:sz w:val="36"/>
          <w:szCs w:val="36"/>
        </w:rPr>
        <w:footnoteReference w:id="41"/>
      </w:r>
      <w:r w:rsidR="003E382E" w:rsidRPr="008B7AA7">
        <w:rPr>
          <w:sz w:val="36"/>
          <w:szCs w:val="36"/>
        </w:rPr>
        <w:t xml:space="preserve"> The project, which ended in March 2020, joined up the efforts of local health partners from acute health, mental health and primary care with local domestic abuse specialist services. </w:t>
      </w:r>
    </w:p>
    <w:p w14:paraId="06E2B32F" w14:textId="4200D6C9" w:rsidR="003E382E" w:rsidRPr="008B7AA7" w:rsidRDefault="003E382E" w:rsidP="00F6491F">
      <w:pPr>
        <w:widowControl w:val="0"/>
        <w:rPr>
          <w:sz w:val="36"/>
          <w:szCs w:val="36"/>
        </w:rPr>
      </w:pPr>
    </w:p>
    <w:p w14:paraId="27998476" w14:textId="5874FC32" w:rsidR="003E382E" w:rsidRPr="008B7AA7" w:rsidRDefault="003E382E" w:rsidP="00F6491F">
      <w:pPr>
        <w:widowControl w:val="0"/>
        <w:rPr>
          <w:sz w:val="36"/>
          <w:szCs w:val="36"/>
        </w:rPr>
      </w:pPr>
      <w:r w:rsidRPr="008B7AA7">
        <w:rPr>
          <w:sz w:val="36"/>
          <w:szCs w:val="36"/>
        </w:rPr>
        <w:t>The pilot report found that victim</w:t>
      </w:r>
      <w:r w:rsidR="004E60A3" w:rsidRPr="008B7AA7">
        <w:rPr>
          <w:sz w:val="36"/>
          <w:szCs w:val="36"/>
        </w:rPr>
        <w:t>-</w:t>
      </w:r>
      <w:r w:rsidRPr="008B7AA7">
        <w:rPr>
          <w:sz w:val="36"/>
          <w:szCs w:val="36"/>
        </w:rPr>
        <w:t>survivors identified through Pathfinder referral pathways were those likely to be otherwise missed by services. 13% of Pathfinder-identified victim</w:t>
      </w:r>
      <w:r w:rsidR="004E60A3" w:rsidRPr="008B7AA7">
        <w:rPr>
          <w:sz w:val="36"/>
          <w:szCs w:val="36"/>
        </w:rPr>
        <w:t>-</w:t>
      </w:r>
      <w:r w:rsidRPr="008B7AA7">
        <w:rPr>
          <w:sz w:val="36"/>
          <w:szCs w:val="36"/>
        </w:rPr>
        <w:t>survivors were aged 51-60, compared with just 6% identified by community IDVAs; this disparity rose to 12% Pathfinder-identified and 3% by community IDVAs for over 61-year olds. Similarly, for Black and minoritised victim</w:t>
      </w:r>
      <w:r w:rsidR="004E60A3" w:rsidRPr="008B7AA7">
        <w:rPr>
          <w:sz w:val="36"/>
          <w:szCs w:val="36"/>
        </w:rPr>
        <w:t>-</w:t>
      </w:r>
      <w:r w:rsidRPr="008B7AA7">
        <w:rPr>
          <w:sz w:val="36"/>
          <w:szCs w:val="36"/>
        </w:rPr>
        <w:t xml:space="preserve">survivors, 36% of Pathfinder clients were Black, Asian or Minority Ethnic compared to the </w:t>
      </w:r>
      <w:r w:rsidR="003456C6" w:rsidRPr="008B7AA7">
        <w:rPr>
          <w:sz w:val="36"/>
          <w:szCs w:val="36"/>
        </w:rPr>
        <w:t>n</w:t>
      </w:r>
      <w:r w:rsidRPr="008B7AA7">
        <w:rPr>
          <w:sz w:val="36"/>
          <w:szCs w:val="36"/>
        </w:rPr>
        <w:t xml:space="preserve">ational </w:t>
      </w:r>
      <w:r w:rsidR="003456C6" w:rsidRPr="008B7AA7">
        <w:rPr>
          <w:sz w:val="36"/>
          <w:szCs w:val="36"/>
        </w:rPr>
        <w:t>a</w:t>
      </w:r>
      <w:r w:rsidRPr="008B7AA7">
        <w:rPr>
          <w:sz w:val="36"/>
          <w:szCs w:val="36"/>
        </w:rPr>
        <w:t>verage of 18.5%.</w:t>
      </w:r>
      <w:r w:rsidRPr="008B7AA7">
        <w:rPr>
          <w:rStyle w:val="FootnoteReference"/>
          <w:sz w:val="36"/>
          <w:szCs w:val="36"/>
        </w:rPr>
        <w:footnoteReference w:id="42"/>
      </w:r>
      <w:r w:rsidRPr="008B7AA7">
        <w:rPr>
          <w:sz w:val="36"/>
          <w:szCs w:val="36"/>
        </w:rPr>
        <w:t xml:space="preserve"> </w:t>
      </w:r>
    </w:p>
    <w:p w14:paraId="6324CEB2" w14:textId="77777777" w:rsidR="003E382E" w:rsidRPr="008B7AA7" w:rsidRDefault="003E382E" w:rsidP="00F6491F">
      <w:pPr>
        <w:widowControl w:val="0"/>
        <w:rPr>
          <w:sz w:val="36"/>
          <w:szCs w:val="36"/>
        </w:rPr>
      </w:pPr>
    </w:p>
    <w:p w14:paraId="39A86119" w14:textId="4BAED450" w:rsidR="0035450E" w:rsidRPr="008B7AA7" w:rsidRDefault="003E382E" w:rsidP="00F6491F">
      <w:pPr>
        <w:widowControl w:val="0"/>
        <w:rPr>
          <w:sz w:val="36"/>
          <w:szCs w:val="36"/>
        </w:rPr>
      </w:pPr>
      <w:r w:rsidRPr="008B7AA7">
        <w:rPr>
          <w:sz w:val="36"/>
          <w:szCs w:val="36"/>
        </w:rPr>
        <w:t>There was also a high level of disclosure of sexual abuse among Pathfinder clients. This was particularly high for Pathfinder clients under 30 where disclosure was recorded for over 23% of victim</w:t>
      </w:r>
      <w:r w:rsidR="004E60A3" w:rsidRPr="008B7AA7">
        <w:rPr>
          <w:sz w:val="36"/>
          <w:szCs w:val="36"/>
        </w:rPr>
        <w:t>-</w:t>
      </w:r>
      <w:r w:rsidRPr="008B7AA7">
        <w:rPr>
          <w:sz w:val="36"/>
          <w:szCs w:val="36"/>
        </w:rPr>
        <w:t xml:space="preserve">survivors and for those supported by a Mental Health </w:t>
      </w:r>
      <w:r w:rsidRPr="008B7AA7">
        <w:rPr>
          <w:sz w:val="36"/>
          <w:szCs w:val="36"/>
        </w:rPr>
        <w:lastRenderedPageBreak/>
        <w:t>IDVA disclosure rates were 25% for victim</w:t>
      </w:r>
      <w:r w:rsidR="004E60A3" w:rsidRPr="008B7AA7">
        <w:rPr>
          <w:sz w:val="36"/>
          <w:szCs w:val="36"/>
        </w:rPr>
        <w:t>-</w:t>
      </w:r>
      <w:r w:rsidRPr="008B7AA7">
        <w:rPr>
          <w:sz w:val="36"/>
          <w:szCs w:val="36"/>
        </w:rPr>
        <w:t>survivors.</w:t>
      </w:r>
      <w:r w:rsidRPr="008B7AA7">
        <w:rPr>
          <w:rStyle w:val="FootnoteReference"/>
          <w:sz w:val="36"/>
          <w:szCs w:val="36"/>
        </w:rPr>
        <w:footnoteReference w:id="43"/>
      </w:r>
      <w:r w:rsidRPr="008B7AA7">
        <w:rPr>
          <w:sz w:val="36"/>
          <w:szCs w:val="36"/>
        </w:rPr>
        <w:t xml:space="preserve"> </w:t>
      </w:r>
    </w:p>
    <w:p w14:paraId="57095967" w14:textId="77777777" w:rsidR="0035450E" w:rsidRPr="008B7AA7" w:rsidRDefault="0035450E" w:rsidP="00F6491F">
      <w:pPr>
        <w:widowControl w:val="0"/>
        <w:rPr>
          <w:sz w:val="36"/>
          <w:szCs w:val="36"/>
        </w:rPr>
      </w:pPr>
    </w:p>
    <w:p w14:paraId="463360E9" w14:textId="0D13D5A9" w:rsidR="009B483F" w:rsidRPr="008B7AA7" w:rsidRDefault="009B483F" w:rsidP="00F6491F">
      <w:pPr>
        <w:widowControl w:val="0"/>
        <w:rPr>
          <w:sz w:val="36"/>
          <w:szCs w:val="36"/>
        </w:rPr>
      </w:pPr>
      <w:r w:rsidRPr="008B7AA7">
        <w:rPr>
          <w:sz w:val="36"/>
          <w:szCs w:val="36"/>
        </w:rPr>
        <w:t xml:space="preserve">For many </w:t>
      </w:r>
      <w:r w:rsidR="00CA740A" w:rsidRPr="008B7AA7">
        <w:rPr>
          <w:sz w:val="36"/>
          <w:szCs w:val="36"/>
        </w:rPr>
        <w:t>victim-</w:t>
      </w:r>
      <w:r w:rsidRPr="008B7AA7">
        <w:rPr>
          <w:sz w:val="36"/>
          <w:szCs w:val="36"/>
        </w:rPr>
        <w:t xml:space="preserve">survivors, health care settings are a key location where they can safely and confidentially disclose and seek help for domestic and sexual abuse. Health settings have a critical role in providing information and signposting to specialist support for women.  It is vital </w:t>
      </w:r>
      <w:r w:rsidR="00915507" w:rsidRPr="008B7AA7">
        <w:rPr>
          <w:sz w:val="36"/>
          <w:szCs w:val="36"/>
        </w:rPr>
        <w:t>that l</w:t>
      </w:r>
      <w:r w:rsidRPr="008B7AA7">
        <w:rPr>
          <w:sz w:val="36"/>
          <w:szCs w:val="36"/>
        </w:rPr>
        <w:t xml:space="preserve">earning from </w:t>
      </w:r>
      <w:r w:rsidR="00CA740A" w:rsidRPr="008B7AA7">
        <w:rPr>
          <w:sz w:val="36"/>
          <w:szCs w:val="36"/>
        </w:rPr>
        <w:t>initiatives</w:t>
      </w:r>
      <w:r w:rsidR="00915507" w:rsidRPr="008B7AA7">
        <w:rPr>
          <w:sz w:val="36"/>
          <w:szCs w:val="36"/>
        </w:rPr>
        <w:t xml:space="preserve"> that are known to work such as </w:t>
      </w:r>
      <w:r w:rsidRPr="008B7AA7">
        <w:rPr>
          <w:sz w:val="36"/>
          <w:szCs w:val="36"/>
        </w:rPr>
        <w:t>IRIS programmes</w:t>
      </w:r>
      <w:r w:rsidR="00E60E08" w:rsidRPr="008B7AA7">
        <w:rPr>
          <w:rStyle w:val="FootnoteReference"/>
          <w:sz w:val="36"/>
          <w:szCs w:val="36"/>
        </w:rPr>
        <w:footnoteReference w:id="44"/>
      </w:r>
      <w:r w:rsidRPr="008B7AA7">
        <w:rPr>
          <w:sz w:val="36"/>
          <w:szCs w:val="36"/>
        </w:rPr>
        <w:t xml:space="preserve"> in general practices</w:t>
      </w:r>
      <w:r w:rsidR="00915507" w:rsidRPr="008B7AA7">
        <w:rPr>
          <w:sz w:val="36"/>
          <w:szCs w:val="36"/>
        </w:rPr>
        <w:t xml:space="preserve"> </w:t>
      </w:r>
      <w:r w:rsidRPr="008B7AA7">
        <w:rPr>
          <w:sz w:val="36"/>
          <w:szCs w:val="36"/>
        </w:rPr>
        <w:t xml:space="preserve">and the Pathfinder programme </w:t>
      </w:r>
      <w:r w:rsidR="00915507" w:rsidRPr="008B7AA7">
        <w:rPr>
          <w:sz w:val="36"/>
          <w:szCs w:val="36"/>
        </w:rPr>
        <w:t xml:space="preserve">are rolled out </w:t>
      </w:r>
      <w:r w:rsidR="0035450E" w:rsidRPr="008B7AA7">
        <w:rPr>
          <w:sz w:val="36"/>
          <w:szCs w:val="36"/>
        </w:rPr>
        <w:t xml:space="preserve">to </w:t>
      </w:r>
      <w:r w:rsidR="00915507" w:rsidRPr="008B7AA7">
        <w:rPr>
          <w:sz w:val="36"/>
          <w:szCs w:val="36"/>
        </w:rPr>
        <w:t>ensure better</w:t>
      </w:r>
      <w:r w:rsidRPr="008B7AA7">
        <w:rPr>
          <w:sz w:val="36"/>
          <w:szCs w:val="36"/>
        </w:rPr>
        <w:t xml:space="preserve"> </w:t>
      </w:r>
      <w:r w:rsidR="00915507" w:rsidRPr="008B7AA7">
        <w:rPr>
          <w:sz w:val="36"/>
          <w:szCs w:val="36"/>
        </w:rPr>
        <w:t xml:space="preserve">training and </w:t>
      </w:r>
      <w:r w:rsidR="006B6C9C" w:rsidRPr="008B7AA7">
        <w:rPr>
          <w:sz w:val="36"/>
          <w:szCs w:val="36"/>
        </w:rPr>
        <w:t xml:space="preserve">a </w:t>
      </w:r>
      <w:r w:rsidR="00915507" w:rsidRPr="008B7AA7">
        <w:rPr>
          <w:sz w:val="36"/>
          <w:szCs w:val="36"/>
        </w:rPr>
        <w:t xml:space="preserve">holistic response by </w:t>
      </w:r>
      <w:r w:rsidRPr="008B7AA7">
        <w:rPr>
          <w:sz w:val="36"/>
          <w:szCs w:val="36"/>
        </w:rPr>
        <w:t>professional</w:t>
      </w:r>
      <w:r w:rsidR="006B6C9C" w:rsidRPr="008B7AA7">
        <w:rPr>
          <w:sz w:val="36"/>
          <w:szCs w:val="36"/>
        </w:rPr>
        <w:t>s</w:t>
      </w:r>
      <w:r w:rsidRPr="008B7AA7">
        <w:rPr>
          <w:sz w:val="36"/>
          <w:szCs w:val="36"/>
        </w:rPr>
        <w:t>.</w:t>
      </w:r>
    </w:p>
    <w:p w14:paraId="549829EA" w14:textId="6C8CD910" w:rsidR="000E71D5" w:rsidRPr="008B7AA7" w:rsidRDefault="000E71D5" w:rsidP="00F6491F">
      <w:pPr>
        <w:widowControl w:val="0"/>
        <w:rPr>
          <w:sz w:val="36"/>
          <w:szCs w:val="36"/>
        </w:rPr>
      </w:pPr>
    </w:p>
    <w:p w14:paraId="72701998" w14:textId="6562940A" w:rsidR="000E71D5" w:rsidRPr="00BD133E" w:rsidRDefault="003E382E" w:rsidP="00F6491F">
      <w:pPr>
        <w:widowControl w:val="0"/>
        <w:rPr>
          <w:b/>
          <w:bCs/>
          <w:sz w:val="36"/>
          <w:szCs w:val="36"/>
        </w:rPr>
      </w:pPr>
      <w:r w:rsidRPr="00BD133E">
        <w:rPr>
          <w:b/>
          <w:bCs/>
          <w:sz w:val="36"/>
          <w:szCs w:val="36"/>
        </w:rPr>
        <w:t xml:space="preserve">Support service sustainability </w:t>
      </w:r>
    </w:p>
    <w:p w14:paraId="6B2C404B" w14:textId="0482D246" w:rsidR="000E71D5" w:rsidRPr="008B7AA7" w:rsidRDefault="00FD60F2" w:rsidP="00F6491F">
      <w:pPr>
        <w:widowControl w:val="0"/>
        <w:rPr>
          <w:sz w:val="36"/>
          <w:szCs w:val="36"/>
        </w:rPr>
      </w:pPr>
      <w:r w:rsidRPr="008B7AA7">
        <w:rPr>
          <w:sz w:val="36"/>
          <w:szCs w:val="36"/>
        </w:rPr>
        <w:t xml:space="preserve">The pandemic has also </w:t>
      </w:r>
      <w:r w:rsidR="000E71D5" w:rsidRPr="008B7AA7">
        <w:rPr>
          <w:sz w:val="36"/>
          <w:szCs w:val="36"/>
        </w:rPr>
        <w:t xml:space="preserve">served to highlight the </w:t>
      </w:r>
      <w:r w:rsidR="004153F9" w:rsidRPr="008B7AA7">
        <w:rPr>
          <w:sz w:val="36"/>
          <w:szCs w:val="36"/>
        </w:rPr>
        <w:t xml:space="preserve">longstanding </w:t>
      </w:r>
      <w:r w:rsidR="000E71D5" w:rsidRPr="008B7AA7">
        <w:rPr>
          <w:sz w:val="36"/>
          <w:szCs w:val="36"/>
        </w:rPr>
        <w:t xml:space="preserve">chronic underfunding and desperate need for long-term sustainable funding for </w:t>
      </w:r>
      <w:r w:rsidRPr="008B7AA7">
        <w:rPr>
          <w:sz w:val="36"/>
          <w:szCs w:val="36"/>
        </w:rPr>
        <w:t xml:space="preserve">VAWG </w:t>
      </w:r>
      <w:r w:rsidR="000E71D5" w:rsidRPr="008B7AA7">
        <w:rPr>
          <w:sz w:val="36"/>
          <w:szCs w:val="36"/>
        </w:rPr>
        <w:t xml:space="preserve">services. This is particularly true of specialist services run </w:t>
      </w:r>
      <w:r w:rsidR="009F6A3F">
        <w:rPr>
          <w:sz w:val="36"/>
          <w:szCs w:val="36"/>
        </w:rPr>
        <w:t>“</w:t>
      </w:r>
      <w:r w:rsidR="000E71D5" w:rsidRPr="008B7AA7">
        <w:rPr>
          <w:sz w:val="36"/>
          <w:szCs w:val="36"/>
        </w:rPr>
        <w:t>by and for</w:t>
      </w:r>
      <w:r w:rsidR="009F6A3F">
        <w:rPr>
          <w:sz w:val="36"/>
          <w:szCs w:val="36"/>
        </w:rPr>
        <w:t>”</w:t>
      </w:r>
      <w:r w:rsidR="000E71D5" w:rsidRPr="008B7AA7">
        <w:rPr>
          <w:sz w:val="36"/>
          <w:szCs w:val="36"/>
        </w:rPr>
        <w:t xml:space="preserve"> Black and minoritised women where</w:t>
      </w:r>
      <w:r w:rsidR="003E382E" w:rsidRPr="008B7AA7">
        <w:rPr>
          <w:sz w:val="36"/>
          <w:szCs w:val="36"/>
        </w:rPr>
        <w:t xml:space="preserve"> a decade of local authority cuts under austerity has created a context of increasing and unequal competition in local commissioning processes, and these have impacted the Black and minoritised women’s sector the hardest.</w:t>
      </w:r>
      <w:r w:rsidR="00E60E08" w:rsidRPr="008B7AA7">
        <w:rPr>
          <w:rStyle w:val="FootnoteReference"/>
          <w:sz w:val="36"/>
          <w:szCs w:val="36"/>
        </w:rPr>
        <w:footnoteReference w:id="45"/>
      </w:r>
    </w:p>
    <w:p w14:paraId="183BB32B" w14:textId="77777777" w:rsidR="00D35D60" w:rsidRPr="008B7AA7" w:rsidRDefault="00D35D60" w:rsidP="00F6491F">
      <w:pPr>
        <w:widowControl w:val="0"/>
        <w:rPr>
          <w:sz w:val="36"/>
          <w:szCs w:val="36"/>
        </w:rPr>
      </w:pPr>
    </w:p>
    <w:p w14:paraId="03AA66FE" w14:textId="7667D583" w:rsidR="001E5C6D" w:rsidRPr="008B7AA7" w:rsidRDefault="00FD60F2" w:rsidP="00F6491F">
      <w:pPr>
        <w:widowControl w:val="0"/>
        <w:rPr>
          <w:sz w:val="36"/>
          <w:szCs w:val="36"/>
        </w:rPr>
      </w:pPr>
      <w:r w:rsidRPr="008B7AA7">
        <w:rPr>
          <w:sz w:val="36"/>
          <w:szCs w:val="36"/>
        </w:rPr>
        <w:t xml:space="preserve">In </w:t>
      </w:r>
      <w:r w:rsidR="00E60E08" w:rsidRPr="008B7AA7">
        <w:rPr>
          <w:sz w:val="36"/>
          <w:szCs w:val="36"/>
        </w:rPr>
        <w:t>May</w:t>
      </w:r>
      <w:r w:rsidR="001E4B56" w:rsidRPr="008B7AA7">
        <w:rPr>
          <w:sz w:val="36"/>
          <w:szCs w:val="36"/>
        </w:rPr>
        <w:t xml:space="preserve"> 2020</w:t>
      </w:r>
      <w:r w:rsidR="003E382E" w:rsidRPr="008B7AA7">
        <w:rPr>
          <w:sz w:val="36"/>
          <w:szCs w:val="36"/>
        </w:rPr>
        <w:t xml:space="preserve"> the Government responded to concerns from the sector about the impact of the increased demand for support and cost of transforming services for remote provision by making available a number of crisis funding pots at the Home Office (HO), the Ministry for Housing, Communities and Local Government (MHCLG) and the Ministry of Justice (MoJ). While </w:t>
      </w:r>
      <w:r w:rsidR="003E382E" w:rsidRPr="008B7AA7">
        <w:rPr>
          <w:sz w:val="36"/>
          <w:szCs w:val="36"/>
        </w:rPr>
        <w:lastRenderedPageBreak/>
        <w:t xml:space="preserve">welcome, the short-term nature of this funding means that services can expect to face a “cliff-edge” </w:t>
      </w:r>
      <w:r w:rsidRPr="008B7AA7">
        <w:rPr>
          <w:sz w:val="36"/>
          <w:szCs w:val="36"/>
        </w:rPr>
        <w:t>in March 2021 when the funding comes to an end, combined with the fact that services do not expect to see any decrease in demand.</w:t>
      </w:r>
      <w:r w:rsidR="003E382E" w:rsidRPr="008B7AA7">
        <w:rPr>
          <w:sz w:val="36"/>
          <w:szCs w:val="36"/>
        </w:rPr>
        <w:t xml:space="preserve"> </w:t>
      </w:r>
    </w:p>
    <w:p w14:paraId="4BC47A05" w14:textId="77777777" w:rsidR="001E5C6D" w:rsidRPr="008B7AA7" w:rsidRDefault="001E5C6D" w:rsidP="00F6491F">
      <w:pPr>
        <w:widowControl w:val="0"/>
        <w:rPr>
          <w:sz w:val="36"/>
          <w:szCs w:val="36"/>
        </w:rPr>
      </w:pPr>
    </w:p>
    <w:p w14:paraId="3AAB771D" w14:textId="3190B53A" w:rsidR="000E71D5" w:rsidRPr="008B7AA7" w:rsidRDefault="004153F9" w:rsidP="00F6491F">
      <w:pPr>
        <w:widowControl w:val="0"/>
        <w:rPr>
          <w:sz w:val="36"/>
          <w:szCs w:val="36"/>
        </w:rPr>
      </w:pPr>
      <w:r w:rsidRPr="008B7AA7">
        <w:rPr>
          <w:sz w:val="36"/>
          <w:szCs w:val="36"/>
        </w:rPr>
        <w:t xml:space="preserve">The </w:t>
      </w:r>
      <w:r w:rsidR="003E382E" w:rsidRPr="008B7AA7">
        <w:rPr>
          <w:sz w:val="36"/>
          <w:szCs w:val="36"/>
        </w:rPr>
        <w:t>delay to a multi-year Comprehensive Spending Review means that VAWG services must continue to try and meet demand with piecemeal funding from various funding pots. What th</w:t>
      </w:r>
      <w:r w:rsidRPr="008B7AA7">
        <w:rPr>
          <w:sz w:val="36"/>
          <w:szCs w:val="36"/>
        </w:rPr>
        <w:t>ese lifesaving</w:t>
      </w:r>
      <w:r w:rsidR="003E382E" w:rsidRPr="008B7AA7">
        <w:rPr>
          <w:sz w:val="36"/>
          <w:szCs w:val="36"/>
        </w:rPr>
        <w:t xml:space="preserve"> </w:t>
      </w:r>
      <w:r w:rsidRPr="008B7AA7">
        <w:rPr>
          <w:sz w:val="36"/>
          <w:szCs w:val="36"/>
        </w:rPr>
        <w:t xml:space="preserve">services </w:t>
      </w:r>
      <w:r w:rsidR="003E382E" w:rsidRPr="008B7AA7">
        <w:rPr>
          <w:sz w:val="36"/>
          <w:szCs w:val="36"/>
        </w:rPr>
        <w:t xml:space="preserve">desperately need instead is sustainable, long-term funding that addresses the structural inequality that the sector </w:t>
      </w:r>
      <w:r w:rsidRPr="008B7AA7">
        <w:rPr>
          <w:sz w:val="36"/>
          <w:szCs w:val="36"/>
        </w:rPr>
        <w:t>faces</w:t>
      </w:r>
      <w:r w:rsidR="003E382E" w:rsidRPr="008B7AA7">
        <w:rPr>
          <w:sz w:val="36"/>
          <w:szCs w:val="36"/>
        </w:rPr>
        <w:t xml:space="preserve">. </w:t>
      </w:r>
      <w:r w:rsidRPr="008B7AA7">
        <w:rPr>
          <w:sz w:val="36"/>
          <w:szCs w:val="36"/>
        </w:rPr>
        <w:t>In addition to the £2.2bn that has been estimated as necessary to tackle domestic abuse alone in this spending period</w:t>
      </w:r>
      <w:r w:rsidR="003E382E" w:rsidRPr="008B7AA7">
        <w:rPr>
          <w:sz w:val="36"/>
          <w:szCs w:val="36"/>
        </w:rPr>
        <w:t>,</w:t>
      </w:r>
      <w:r w:rsidR="003E382E" w:rsidRPr="008B7AA7">
        <w:rPr>
          <w:rStyle w:val="FootnoteReference"/>
          <w:sz w:val="36"/>
          <w:szCs w:val="36"/>
        </w:rPr>
        <w:footnoteReference w:id="46"/>
      </w:r>
      <w:r w:rsidR="003E382E" w:rsidRPr="008B7AA7">
        <w:rPr>
          <w:sz w:val="36"/>
          <w:szCs w:val="36"/>
        </w:rPr>
        <w:t xml:space="preserve"> </w:t>
      </w:r>
      <w:r w:rsidRPr="008B7AA7">
        <w:rPr>
          <w:sz w:val="36"/>
          <w:szCs w:val="36"/>
        </w:rPr>
        <w:t>further spending pledges are needed of at least £102.7m annually to ensure specialist sexual violence and abuse services are available for victim</w:t>
      </w:r>
      <w:r w:rsidR="00CA740A" w:rsidRPr="008B7AA7">
        <w:rPr>
          <w:sz w:val="36"/>
          <w:szCs w:val="36"/>
        </w:rPr>
        <w:t>-</w:t>
      </w:r>
      <w:r w:rsidRPr="008B7AA7">
        <w:rPr>
          <w:sz w:val="36"/>
          <w:szCs w:val="36"/>
        </w:rPr>
        <w:t xml:space="preserve">survivors; and £57m annually to ensure that the existing highly specialist support services for Black and </w:t>
      </w:r>
      <w:r w:rsidR="003E382E" w:rsidRPr="008B7AA7">
        <w:rPr>
          <w:sz w:val="36"/>
          <w:szCs w:val="36"/>
        </w:rPr>
        <w:t>minoritised women are sustainable.</w:t>
      </w:r>
      <w:r w:rsidR="003E382E" w:rsidRPr="008B7AA7">
        <w:rPr>
          <w:rStyle w:val="FootnoteReference"/>
          <w:sz w:val="36"/>
          <w:szCs w:val="36"/>
        </w:rPr>
        <w:footnoteReference w:id="47"/>
      </w:r>
    </w:p>
    <w:p w14:paraId="5D3F6795" w14:textId="77777777" w:rsidR="00A752B9" w:rsidRDefault="00A752B9">
      <w:pPr>
        <w:rPr>
          <w:b/>
          <w:bCs/>
          <w:sz w:val="40"/>
          <w:szCs w:val="40"/>
          <w:lang w:eastAsia="en-GB"/>
        </w:rPr>
      </w:pPr>
      <w:bookmarkStart w:id="4" w:name="_Toc63778686"/>
      <w:r>
        <w:rPr>
          <w:lang w:eastAsia="en-GB"/>
        </w:rPr>
        <w:br w:type="page"/>
      </w:r>
    </w:p>
    <w:p w14:paraId="43333F8A" w14:textId="7B1B314E" w:rsidR="003E382E" w:rsidRPr="00BD133E" w:rsidRDefault="003E382E" w:rsidP="00BF1BA9">
      <w:pPr>
        <w:pStyle w:val="Heading1"/>
        <w:rPr>
          <w:lang w:eastAsia="en-GB"/>
        </w:rPr>
      </w:pPr>
      <w:r w:rsidRPr="00BD133E">
        <w:rPr>
          <w:lang w:eastAsia="en-GB"/>
        </w:rPr>
        <w:lastRenderedPageBreak/>
        <w:t>Key Policy Developments</w:t>
      </w:r>
      <w:bookmarkEnd w:id="4"/>
      <w:r w:rsidRPr="00BD133E">
        <w:rPr>
          <w:lang w:eastAsia="en-GB"/>
        </w:rPr>
        <w:t xml:space="preserve"> </w:t>
      </w:r>
    </w:p>
    <w:p w14:paraId="02391554" w14:textId="77777777" w:rsidR="003E382E" w:rsidRPr="008B7AA7" w:rsidRDefault="003E382E">
      <w:pPr>
        <w:rPr>
          <w:rFonts w:ascii="Calibri" w:hAnsi="Calibri"/>
          <w:sz w:val="36"/>
          <w:szCs w:val="36"/>
        </w:rPr>
      </w:pPr>
    </w:p>
    <w:p w14:paraId="14BD5227" w14:textId="0D5EA052" w:rsidR="000E71D5" w:rsidRPr="005F4712" w:rsidRDefault="000E71D5" w:rsidP="00A752B9">
      <w:pPr>
        <w:rPr>
          <w:b/>
          <w:bCs/>
          <w:sz w:val="36"/>
          <w:szCs w:val="36"/>
        </w:rPr>
      </w:pPr>
      <w:r w:rsidRPr="005F4712">
        <w:rPr>
          <w:b/>
          <w:bCs/>
          <w:sz w:val="36"/>
          <w:szCs w:val="36"/>
        </w:rPr>
        <w:t xml:space="preserve">Anti-Racism </w:t>
      </w:r>
    </w:p>
    <w:p w14:paraId="5E9E2AF3" w14:textId="63A05CCD" w:rsidR="00C77B8E" w:rsidRPr="008B7AA7" w:rsidRDefault="00C77B8E">
      <w:pPr>
        <w:rPr>
          <w:sz w:val="36"/>
          <w:szCs w:val="36"/>
        </w:rPr>
      </w:pPr>
      <w:r w:rsidRPr="008B7AA7">
        <w:rPr>
          <w:sz w:val="36"/>
          <w:szCs w:val="36"/>
        </w:rPr>
        <w:t>The murder of George Floyd in Minnesota</w:t>
      </w:r>
      <w:r w:rsidR="001C2CD5">
        <w:rPr>
          <w:sz w:val="36"/>
          <w:szCs w:val="36"/>
        </w:rPr>
        <w:t>, USA</w:t>
      </w:r>
      <w:r w:rsidRPr="008B7AA7">
        <w:rPr>
          <w:sz w:val="36"/>
          <w:szCs w:val="36"/>
        </w:rPr>
        <w:t xml:space="preserve"> and subsequent Black Lives Matter protests over the summer</w:t>
      </w:r>
      <w:r w:rsidR="004153F9" w:rsidRPr="008B7AA7">
        <w:rPr>
          <w:sz w:val="36"/>
          <w:szCs w:val="36"/>
        </w:rPr>
        <w:t xml:space="preserve"> across the globe</w:t>
      </w:r>
      <w:r w:rsidRPr="008B7AA7">
        <w:rPr>
          <w:sz w:val="36"/>
          <w:szCs w:val="36"/>
        </w:rPr>
        <w:t>, along with the disproportionate impact of Covid-19 on Black and minoritised communities has highlighted the importance of tackling VAWG within an anti-racist framework that centres ending VAWG within a wider social justice agenda.</w:t>
      </w:r>
      <w:r w:rsidR="00CA740A" w:rsidRPr="008B7AA7">
        <w:rPr>
          <w:sz w:val="36"/>
          <w:szCs w:val="36"/>
        </w:rPr>
        <w:t xml:space="preserve"> </w:t>
      </w:r>
      <w:r w:rsidR="004153F9" w:rsidRPr="008B7AA7">
        <w:rPr>
          <w:sz w:val="36"/>
          <w:szCs w:val="36"/>
        </w:rPr>
        <w:t xml:space="preserve">This means </w:t>
      </w:r>
      <w:r w:rsidRPr="008B7AA7">
        <w:rPr>
          <w:sz w:val="36"/>
          <w:szCs w:val="36"/>
        </w:rPr>
        <w:t xml:space="preserve">understanding </w:t>
      </w:r>
      <w:r w:rsidR="004153F9" w:rsidRPr="008B7AA7">
        <w:rPr>
          <w:sz w:val="36"/>
          <w:szCs w:val="36"/>
        </w:rPr>
        <w:t xml:space="preserve">and acknowledging </w:t>
      </w:r>
      <w:r w:rsidRPr="008B7AA7">
        <w:rPr>
          <w:sz w:val="36"/>
          <w:szCs w:val="36"/>
        </w:rPr>
        <w:t xml:space="preserve">the importance of </w:t>
      </w:r>
      <w:r w:rsidR="004153F9" w:rsidRPr="008B7AA7">
        <w:rPr>
          <w:sz w:val="36"/>
          <w:szCs w:val="36"/>
        </w:rPr>
        <w:t>“</w:t>
      </w:r>
      <w:r w:rsidRPr="008B7AA7">
        <w:rPr>
          <w:sz w:val="36"/>
          <w:szCs w:val="36"/>
        </w:rPr>
        <w:t>by and for</w:t>
      </w:r>
      <w:r w:rsidR="004153F9" w:rsidRPr="008B7AA7">
        <w:rPr>
          <w:sz w:val="36"/>
          <w:szCs w:val="36"/>
        </w:rPr>
        <w:t>”</w:t>
      </w:r>
      <w:r w:rsidRPr="008B7AA7">
        <w:rPr>
          <w:sz w:val="36"/>
          <w:szCs w:val="36"/>
        </w:rPr>
        <w:t xml:space="preserve"> specialist services that meet the needs of Black and minoritised women and enable them to see themselves in the services they are supported by. </w:t>
      </w:r>
    </w:p>
    <w:p w14:paraId="055F9BFA" w14:textId="3FEF71CE" w:rsidR="000E71D5" w:rsidRPr="008B7AA7" w:rsidRDefault="000E71D5">
      <w:pPr>
        <w:rPr>
          <w:sz w:val="36"/>
          <w:szCs w:val="36"/>
        </w:rPr>
      </w:pPr>
    </w:p>
    <w:p w14:paraId="5FEDB736" w14:textId="55FA23F3" w:rsidR="000E71D5" w:rsidRPr="00BD133E" w:rsidRDefault="000E71D5" w:rsidP="00A752B9">
      <w:pPr>
        <w:rPr>
          <w:b/>
          <w:bCs/>
          <w:sz w:val="36"/>
          <w:szCs w:val="36"/>
        </w:rPr>
      </w:pPr>
      <w:r w:rsidRPr="00BD133E">
        <w:rPr>
          <w:b/>
          <w:bCs/>
          <w:sz w:val="36"/>
          <w:szCs w:val="36"/>
        </w:rPr>
        <w:t>Black and minoritised women and girls</w:t>
      </w:r>
      <w:r w:rsidR="00533A55" w:rsidRPr="00BD133E">
        <w:rPr>
          <w:b/>
          <w:bCs/>
          <w:sz w:val="36"/>
          <w:szCs w:val="36"/>
        </w:rPr>
        <w:t>’ experiences of help-seeking</w:t>
      </w:r>
    </w:p>
    <w:p w14:paraId="30CA1A22" w14:textId="60FCB17F" w:rsidR="008E530E" w:rsidRPr="008B7AA7" w:rsidRDefault="008E530E" w:rsidP="008E530E">
      <w:pPr>
        <w:rPr>
          <w:sz w:val="36"/>
          <w:szCs w:val="36"/>
        </w:rPr>
      </w:pPr>
      <w:r w:rsidRPr="008B7AA7">
        <w:rPr>
          <w:sz w:val="36"/>
          <w:szCs w:val="36"/>
        </w:rPr>
        <w:t xml:space="preserve">2020 </w:t>
      </w:r>
      <w:r w:rsidR="001E4B56" w:rsidRPr="008B7AA7">
        <w:rPr>
          <w:sz w:val="36"/>
          <w:szCs w:val="36"/>
        </w:rPr>
        <w:t>s</w:t>
      </w:r>
      <w:r w:rsidRPr="008B7AA7">
        <w:rPr>
          <w:sz w:val="36"/>
          <w:szCs w:val="36"/>
        </w:rPr>
        <w:t xml:space="preserve">aw the publication of </w:t>
      </w:r>
      <w:r w:rsidR="004F2115" w:rsidRPr="008B7AA7">
        <w:rPr>
          <w:sz w:val="36"/>
          <w:szCs w:val="36"/>
        </w:rPr>
        <w:t xml:space="preserve">a substantive report highlighting the importance of specialist “by and for” services for Black and minoritised women who have experienced sexual violence. </w:t>
      </w:r>
      <w:r w:rsidR="00FF1791" w:rsidRPr="008B7AA7">
        <w:rPr>
          <w:sz w:val="36"/>
          <w:szCs w:val="36"/>
        </w:rPr>
        <w:t xml:space="preserve">Findings from </w:t>
      </w:r>
      <w:r w:rsidR="004F2115" w:rsidRPr="008B7AA7">
        <w:rPr>
          <w:sz w:val="36"/>
          <w:szCs w:val="36"/>
        </w:rPr>
        <w:t xml:space="preserve">Imkaan’s </w:t>
      </w:r>
      <w:r w:rsidR="004F2115" w:rsidRPr="008B7AA7">
        <w:rPr>
          <w:i/>
          <w:iCs/>
          <w:sz w:val="36"/>
          <w:szCs w:val="36"/>
        </w:rPr>
        <w:t>Reclaiming Voice</w:t>
      </w:r>
      <w:r w:rsidR="004F2115" w:rsidRPr="008B7AA7">
        <w:rPr>
          <w:sz w:val="36"/>
          <w:szCs w:val="36"/>
        </w:rPr>
        <w:t xml:space="preserve"> underline that </w:t>
      </w:r>
      <w:r w:rsidRPr="008B7AA7">
        <w:rPr>
          <w:sz w:val="36"/>
          <w:szCs w:val="36"/>
        </w:rPr>
        <w:t>Black and minoritised woman significantly value “seeing themselves” in support services and that this gave them “affirmation and removed the fear they would not be understood or viewed as ‘different’.</w:t>
      </w:r>
      <w:r w:rsidRPr="008B7AA7">
        <w:rPr>
          <w:rStyle w:val="FootnoteReference"/>
          <w:sz w:val="36"/>
          <w:szCs w:val="36"/>
        </w:rPr>
        <w:footnoteReference w:id="48"/>
      </w:r>
      <w:r w:rsidRPr="008B7AA7">
        <w:rPr>
          <w:sz w:val="36"/>
          <w:szCs w:val="36"/>
        </w:rPr>
        <w:t>The report examines how ’cultural framings’ and assumptions by agencies”</w:t>
      </w:r>
      <w:r w:rsidRPr="008B7AA7">
        <w:rPr>
          <w:rStyle w:val="FootnoteReference"/>
          <w:sz w:val="36"/>
          <w:szCs w:val="36"/>
        </w:rPr>
        <w:footnoteReference w:id="49"/>
      </w:r>
      <w:r w:rsidRPr="008B7AA7">
        <w:rPr>
          <w:sz w:val="36"/>
          <w:szCs w:val="36"/>
        </w:rPr>
        <w:t xml:space="preserve"> act as a barrier to effective responses to VAWG as the nuances of women’s contexts and experiences are not seen but instead assumptions regarding </w:t>
      </w:r>
      <w:r w:rsidRPr="008B7AA7">
        <w:rPr>
          <w:sz w:val="36"/>
          <w:szCs w:val="36"/>
        </w:rPr>
        <w:lastRenderedPageBreak/>
        <w:t>their “culture” and what types of VAWG are or are not experienced by certain women are used as a basis for non-intervention.</w:t>
      </w:r>
      <w:r w:rsidRPr="008B7AA7">
        <w:rPr>
          <w:rStyle w:val="FootnoteReference"/>
          <w:sz w:val="36"/>
          <w:szCs w:val="36"/>
        </w:rPr>
        <w:footnoteReference w:id="50"/>
      </w:r>
      <w:r w:rsidRPr="008B7AA7">
        <w:rPr>
          <w:sz w:val="36"/>
          <w:szCs w:val="36"/>
        </w:rPr>
        <w:t xml:space="preserve">   </w:t>
      </w:r>
    </w:p>
    <w:p w14:paraId="55DB1709" w14:textId="510F8B69" w:rsidR="008E530E" w:rsidRPr="008B7AA7" w:rsidRDefault="008E530E" w:rsidP="008E530E">
      <w:pPr>
        <w:rPr>
          <w:sz w:val="36"/>
          <w:szCs w:val="36"/>
        </w:rPr>
      </w:pPr>
    </w:p>
    <w:p w14:paraId="1DDE3FA4" w14:textId="40D33654" w:rsidR="00352F59" w:rsidRPr="008B7AA7" w:rsidRDefault="001E5C6D" w:rsidP="008E530E">
      <w:pPr>
        <w:rPr>
          <w:sz w:val="36"/>
          <w:szCs w:val="36"/>
        </w:rPr>
      </w:pPr>
      <w:r w:rsidRPr="008B7AA7">
        <w:rPr>
          <w:sz w:val="36"/>
          <w:szCs w:val="36"/>
        </w:rPr>
        <w:t>This was further confirmed with research</w:t>
      </w:r>
      <w:r w:rsidR="008E530E" w:rsidRPr="008B7AA7">
        <w:rPr>
          <w:sz w:val="36"/>
          <w:szCs w:val="36"/>
        </w:rPr>
        <w:t xml:space="preserve"> by the Independent Inquiry in Child Sexual Abuse </w:t>
      </w:r>
      <w:r w:rsidR="00352F59" w:rsidRPr="008B7AA7">
        <w:rPr>
          <w:sz w:val="36"/>
          <w:szCs w:val="36"/>
        </w:rPr>
        <w:t>(IICSA) with the Race Equality Foundation on how racist stereotypes can lead to failures in identifying and responding to child sexual abuse.</w:t>
      </w:r>
      <w:r w:rsidR="00352F59" w:rsidRPr="008B7AA7">
        <w:rPr>
          <w:rStyle w:val="FootnoteReference"/>
          <w:sz w:val="36"/>
          <w:szCs w:val="36"/>
        </w:rPr>
        <w:footnoteReference w:id="51"/>
      </w:r>
      <w:r w:rsidR="00352F59" w:rsidRPr="008B7AA7">
        <w:rPr>
          <w:sz w:val="36"/>
          <w:szCs w:val="36"/>
        </w:rPr>
        <w:t xml:space="preserve"> These stereotypes functioned in two broad categories according to the research: firstly, in having incorrect assumptions about what is “acceptable” or “normal” in certain communities; secondly, the broader context of racism in society acts as barrier to reporting for victim</w:t>
      </w:r>
      <w:r w:rsidR="004E60A3" w:rsidRPr="008B7AA7">
        <w:rPr>
          <w:sz w:val="36"/>
          <w:szCs w:val="36"/>
        </w:rPr>
        <w:t>-</w:t>
      </w:r>
      <w:r w:rsidR="00352F59" w:rsidRPr="008B7AA7">
        <w:rPr>
          <w:sz w:val="36"/>
          <w:szCs w:val="36"/>
        </w:rPr>
        <w:t>survivors of child sexual abuse who fear reinforcing “negative stereotypes”.</w:t>
      </w:r>
      <w:r w:rsidR="00352F59" w:rsidRPr="008B7AA7">
        <w:rPr>
          <w:rStyle w:val="FootnoteReference"/>
          <w:sz w:val="36"/>
          <w:szCs w:val="36"/>
        </w:rPr>
        <w:footnoteReference w:id="52"/>
      </w:r>
      <w:r w:rsidR="00352F59" w:rsidRPr="008B7AA7">
        <w:rPr>
          <w:sz w:val="36"/>
          <w:szCs w:val="36"/>
        </w:rPr>
        <w:t xml:space="preserve"> </w:t>
      </w:r>
    </w:p>
    <w:p w14:paraId="0CA4248A" w14:textId="77777777" w:rsidR="00352F59" w:rsidRPr="008B7AA7" w:rsidRDefault="00352F59" w:rsidP="008E530E">
      <w:pPr>
        <w:rPr>
          <w:sz w:val="36"/>
          <w:szCs w:val="36"/>
        </w:rPr>
      </w:pPr>
    </w:p>
    <w:p w14:paraId="5C641E7F" w14:textId="56984679" w:rsidR="008E530E" w:rsidRPr="008B7AA7" w:rsidRDefault="00352F59" w:rsidP="00814558">
      <w:pPr>
        <w:rPr>
          <w:sz w:val="36"/>
          <w:szCs w:val="36"/>
        </w:rPr>
      </w:pPr>
      <w:r w:rsidRPr="008B7AA7">
        <w:rPr>
          <w:sz w:val="36"/>
          <w:szCs w:val="36"/>
        </w:rPr>
        <w:t>An example of such negative stereotypes is the image of the “Asian grooming gangs”, following high profile child sexual exploitation cases in Rochdale and Rotherham. A recent Home Office paper into characteristics of “grooming gangs” found th</w:t>
      </w:r>
      <w:r w:rsidR="00814558" w:rsidRPr="008B7AA7">
        <w:rPr>
          <w:sz w:val="36"/>
          <w:szCs w:val="36"/>
        </w:rPr>
        <w:t>a</w:t>
      </w:r>
      <w:r w:rsidR="00814558" w:rsidRPr="008B7AA7">
        <w:rPr>
          <w:rFonts w:ascii="Calibri" w:hAnsi="Calibri" w:cs="Calibri"/>
          <w:sz w:val="36"/>
          <w:szCs w:val="36"/>
        </w:rPr>
        <w:t xml:space="preserve">t </w:t>
      </w:r>
      <w:r w:rsidR="00290C56" w:rsidRPr="008B7AA7">
        <w:rPr>
          <w:rFonts w:ascii="Calibri" w:hAnsi="Calibri" w:cs="Calibri"/>
          <w:sz w:val="36"/>
          <w:szCs w:val="36"/>
        </w:rPr>
        <w:t>“</w:t>
      </w:r>
      <w:r w:rsidR="00814558" w:rsidRPr="008B7AA7">
        <w:rPr>
          <w:rFonts w:ascii="Calibri" w:eastAsia="Times New Roman" w:hAnsi="Calibri" w:cs="Calibri"/>
          <w:sz w:val="36"/>
          <w:szCs w:val="36"/>
          <w:lang w:eastAsia="en-GB"/>
        </w:rPr>
        <w:t>academic literature highlights significant limitations to what can be said about links between ethnicity and this form of offending</w:t>
      </w:r>
      <w:r w:rsidR="00290C56" w:rsidRPr="008B7AA7">
        <w:rPr>
          <w:rFonts w:ascii="Calibri" w:eastAsia="Times New Roman" w:hAnsi="Calibri" w:cs="Calibri"/>
          <w:sz w:val="36"/>
          <w:szCs w:val="36"/>
          <w:lang w:eastAsia="en-GB"/>
        </w:rPr>
        <w:t>”</w:t>
      </w:r>
      <w:r w:rsidR="00814558" w:rsidRPr="008B7AA7">
        <w:rPr>
          <w:sz w:val="36"/>
          <w:szCs w:val="36"/>
        </w:rPr>
        <w:t xml:space="preserve">. Furthermore, </w:t>
      </w:r>
      <w:r w:rsidRPr="008B7AA7">
        <w:rPr>
          <w:sz w:val="36"/>
          <w:szCs w:val="36"/>
        </w:rPr>
        <w:t>contrary to pervading stereotypes that group-based child sexual exploitation (CSE) is particularly perpetrated by Asian men, such offenders were found to come from “diverse backgrounds</w:t>
      </w:r>
      <w:r w:rsidR="00290C56" w:rsidRPr="008B7AA7">
        <w:rPr>
          <w:sz w:val="36"/>
          <w:szCs w:val="36"/>
        </w:rPr>
        <w:t>” and</w:t>
      </w:r>
      <w:r w:rsidR="00814558" w:rsidRPr="008B7AA7">
        <w:rPr>
          <w:sz w:val="36"/>
          <w:szCs w:val="36"/>
        </w:rPr>
        <w:t xml:space="preserve"> that group-based CSE offenders </w:t>
      </w:r>
      <w:r w:rsidR="00814558" w:rsidRPr="008B7AA7">
        <w:rPr>
          <w:sz w:val="36"/>
          <w:szCs w:val="36"/>
        </w:rPr>
        <w:lastRenderedPageBreak/>
        <w:t>were most commonly white.</w:t>
      </w:r>
      <w:r w:rsidRPr="008B7AA7">
        <w:rPr>
          <w:rStyle w:val="FootnoteReference"/>
          <w:sz w:val="36"/>
          <w:szCs w:val="36"/>
        </w:rPr>
        <w:footnoteReference w:id="53"/>
      </w:r>
      <w:r w:rsidR="00C32480" w:rsidRPr="008B7AA7">
        <w:rPr>
          <w:sz w:val="36"/>
          <w:szCs w:val="36"/>
        </w:rPr>
        <w:t xml:space="preserve"> </w:t>
      </w:r>
      <w:r w:rsidRPr="008B7AA7">
        <w:rPr>
          <w:sz w:val="36"/>
          <w:szCs w:val="36"/>
        </w:rPr>
        <w:t xml:space="preserve">Extensive, compulsory training into myths regarding child sexual abuse and Black and minoritised communities for statutory agencies is </w:t>
      </w:r>
      <w:r w:rsidR="00FF1791" w:rsidRPr="008B7AA7">
        <w:rPr>
          <w:sz w:val="36"/>
          <w:szCs w:val="36"/>
        </w:rPr>
        <w:t xml:space="preserve">necessary </w:t>
      </w:r>
      <w:r w:rsidRPr="008B7AA7">
        <w:rPr>
          <w:sz w:val="36"/>
          <w:szCs w:val="36"/>
        </w:rPr>
        <w:t xml:space="preserve">so that child sexual abuse can be identified and responded to appropriately. </w:t>
      </w:r>
    </w:p>
    <w:p w14:paraId="169E10EE" w14:textId="48FC385A" w:rsidR="00352F59" w:rsidRPr="008B7AA7" w:rsidRDefault="00352F59" w:rsidP="008E530E">
      <w:pPr>
        <w:rPr>
          <w:sz w:val="36"/>
          <w:szCs w:val="36"/>
        </w:rPr>
      </w:pPr>
    </w:p>
    <w:p w14:paraId="0F0AAFE3" w14:textId="1302FF69" w:rsidR="00352F59" w:rsidRPr="008B7AA7" w:rsidRDefault="00352F59" w:rsidP="008E530E">
      <w:pPr>
        <w:rPr>
          <w:sz w:val="36"/>
          <w:szCs w:val="36"/>
        </w:rPr>
      </w:pPr>
      <w:r w:rsidRPr="008B7AA7">
        <w:rPr>
          <w:sz w:val="36"/>
          <w:szCs w:val="36"/>
        </w:rPr>
        <w:t xml:space="preserve">Participants in the research by IICSA, when discussing awareness and understanding of child sexual abuse in minoritised communities, cited the importance of sex education in schools as well as the media’s role in shaping attitudes to child sexual abuse. </w:t>
      </w:r>
      <w:r w:rsidR="001E5C6D" w:rsidRPr="008B7AA7">
        <w:rPr>
          <w:sz w:val="36"/>
          <w:szCs w:val="36"/>
        </w:rPr>
        <w:t xml:space="preserve">The delay to the rollout to compulsory Relationships and Sex Education (RSE), now expected July 2021, will be more vital than ever to the lives of young people in the context of the pandemic. Schools will therefore require significant support from the Department of Education to ensure that RSE is not delayed further. </w:t>
      </w:r>
      <w:r w:rsidR="001E4B56" w:rsidRPr="008B7AA7">
        <w:rPr>
          <w:sz w:val="36"/>
          <w:szCs w:val="36"/>
        </w:rPr>
        <w:t>Additionally, the DfE needs to commit to resourcing a ‘Whole School Approach’ to preventing VAWG in schools which incorporates a prioritisation of tackling abuse; teacher training; and making links with local, specialist abuse organisations.</w:t>
      </w:r>
    </w:p>
    <w:p w14:paraId="0753B5A0" w14:textId="316B6709" w:rsidR="00D11B03" w:rsidRPr="008B7AA7" w:rsidRDefault="00D11B03">
      <w:pPr>
        <w:rPr>
          <w:sz w:val="36"/>
          <w:szCs w:val="36"/>
        </w:rPr>
      </w:pPr>
    </w:p>
    <w:p w14:paraId="005C88AF" w14:textId="3EF41DA6" w:rsidR="00D11B03" w:rsidRPr="00BD133E" w:rsidRDefault="00D11B03" w:rsidP="00A752B9">
      <w:pPr>
        <w:rPr>
          <w:b/>
          <w:bCs/>
          <w:sz w:val="36"/>
          <w:szCs w:val="36"/>
        </w:rPr>
      </w:pPr>
      <w:r w:rsidRPr="00BD133E">
        <w:rPr>
          <w:b/>
          <w:bCs/>
          <w:sz w:val="36"/>
          <w:szCs w:val="36"/>
        </w:rPr>
        <w:t>Online Harms</w:t>
      </w:r>
    </w:p>
    <w:p w14:paraId="36224AA3" w14:textId="776EA566" w:rsidR="00D11B03" w:rsidRPr="008B7AA7" w:rsidRDefault="00D11B03" w:rsidP="00A57560">
      <w:pPr>
        <w:rPr>
          <w:sz w:val="36"/>
          <w:szCs w:val="36"/>
        </w:rPr>
      </w:pPr>
      <w:r w:rsidRPr="008B7AA7">
        <w:rPr>
          <w:sz w:val="36"/>
          <w:szCs w:val="36"/>
        </w:rPr>
        <w:t xml:space="preserve">2021 is </w:t>
      </w:r>
      <w:r w:rsidR="00FF1791" w:rsidRPr="008B7AA7">
        <w:rPr>
          <w:sz w:val="36"/>
          <w:szCs w:val="36"/>
        </w:rPr>
        <w:t xml:space="preserve">widely </w:t>
      </w:r>
      <w:r w:rsidRPr="008B7AA7">
        <w:rPr>
          <w:sz w:val="36"/>
          <w:szCs w:val="36"/>
        </w:rPr>
        <w:t>expected to see the Online Harms Bill enter Parliament</w:t>
      </w:r>
      <w:r w:rsidR="001E5C6D" w:rsidRPr="008B7AA7">
        <w:rPr>
          <w:sz w:val="36"/>
          <w:szCs w:val="36"/>
        </w:rPr>
        <w:t xml:space="preserve">. </w:t>
      </w:r>
      <w:r w:rsidR="00A57560" w:rsidRPr="008B7AA7">
        <w:rPr>
          <w:sz w:val="36"/>
          <w:szCs w:val="36"/>
        </w:rPr>
        <w:t xml:space="preserve">As well as working closely with and consulting women’s organisations to ensure that the Online Harms Bill addresses gender-based and intersectional online abuse, the Government should commission research into the impact of </w:t>
      </w:r>
      <w:r w:rsidR="00A57560" w:rsidRPr="008B7AA7">
        <w:rPr>
          <w:sz w:val="36"/>
          <w:szCs w:val="36"/>
        </w:rPr>
        <w:lastRenderedPageBreak/>
        <w:t>online abuse on women and Black and minoritised communities and intersectional online abuse.</w:t>
      </w:r>
      <w:r w:rsidR="00533A55" w:rsidRPr="008B7AA7">
        <w:rPr>
          <w:rStyle w:val="FootnoteReference"/>
          <w:sz w:val="36"/>
          <w:szCs w:val="36"/>
        </w:rPr>
        <w:footnoteReference w:id="54"/>
      </w:r>
    </w:p>
    <w:p w14:paraId="55F9DC43" w14:textId="6D83DF76" w:rsidR="00533A55" w:rsidRPr="008B7AA7" w:rsidRDefault="00533A55" w:rsidP="00A57560">
      <w:pPr>
        <w:rPr>
          <w:sz w:val="36"/>
          <w:szCs w:val="36"/>
        </w:rPr>
      </w:pPr>
    </w:p>
    <w:p w14:paraId="7720ABFF" w14:textId="6DE68A51" w:rsidR="00533A55" w:rsidRPr="008B7AA7" w:rsidRDefault="00C32480" w:rsidP="00A57560">
      <w:pPr>
        <w:rPr>
          <w:sz w:val="36"/>
          <w:szCs w:val="36"/>
        </w:rPr>
      </w:pPr>
      <w:r w:rsidRPr="008B7AA7">
        <w:rPr>
          <w:sz w:val="36"/>
          <w:szCs w:val="36"/>
        </w:rPr>
        <w:t>In the context of</w:t>
      </w:r>
      <w:r w:rsidR="00533A55" w:rsidRPr="008B7AA7">
        <w:rPr>
          <w:sz w:val="36"/>
          <w:szCs w:val="36"/>
        </w:rPr>
        <w:t xml:space="preserve"> a sharp rise in threat of online child sexual abuse, the Government introduced an interim code of practice on online child sexual exploitation and abuse ahead of the Online Harms Bill’s passage through Parliament </w:t>
      </w:r>
      <w:r w:rsidRPr="008B7AA7">
        <w:rPr>
          <w:sz w:val="36"/>
          <w:szCs w:val="36"/>
        </w:rPr>
        <w:t>this year</w:t>
      </w:r>
      <w:r w:rsidR="00533A55" w:rsidRPr="008B7AA7">
        <w:rPr>
          <w:sz w:val="36"/>
          <w:szCs w:val="36"/>
        </w:rPr>
        <w:t>.</w:t>
      </w:r>
      <w:r w:rsidR="00533A55" w:rsidRPr="008B7AA7">
        <w:rPr>
          <w:rStyle w:val="FootnoteReference"/>
          <w:sz w:val="36"/>
          <w:szCs w:val="36"/>
        </w:rPr>
        <w:footnoteReference w:id="55"/>
      </w:r>
      <w:r w:rsidR="00533A55" w:rsidRPr="008B7AA7">
        <w:rPr>
          <w:sz w:val="36"/>
          <w:szCs w:val="36"/>
        </w:rPr>
        <w:t xml:space="preserve"> Given IICSA’s findings on how racist stereotypes can </w:t>
      </w:r>
      <w:r w:rsidRPr="008B7AA7">
        <w:rPr>
          <w:sz w:val="36"/>
          <w:szCs w:val="36"/>
        </w:rPr>
        <w:t xml:space="preserve">negatively impact on </w:t>
      </w:r>
      <w:r w:rsidR="00533A55" w:rsidRPr="008B7AA7">
        <w:rPr>
          <w:sz w:val="36"/>
          <w:szCs w:val="36"/>
        </w:rPr>
        <w:t>statutory agency response, and Glitch and EVAW’s report on the disproportionate impact of online abuse on Black and minoritised women, it is necessary for the Online Harms Bill to take account of intersecting inequalities that inform the experience of online abuse of women and girls.</w:t>
      </w:r>
    </w:p>
    <w:p w14:paraId="41F6BE39" w14:textId="31EC6D3F" w:rsidR="00D11B03" w:rsidRPr="008B7AA7" w:rsidRDefault="00D11B03">
      <w:pPr>
        <w:rPr>
          <w:sz w:val="36"/>
          <w:szCs w:val="36"/>
        </w:rPr>
      </w:pPr>
    </w:p>
    <w:p w14:paraId="5627C9E0" w14:textId="735DF634" w:rsidR="00D11B03" w:rsidRPr="008B7AA7" w:rsidRDefault="00D11B03" w:rsidP="00C32480">
      <w:pPr>
        <w:rPr>
          <w:sz w:val="36"/>
          <w:szCs w:val="36"/>
        </w:rPr>
      </w:pPr>
      <w:r w:rsidRPr="008B7AA7">
        <w:rPr>
          <w:sz w:val="36"/>
          <w:szCs w:val="36"/>
        </w:rPr>
        <w:t xml:space="preserve">Imkaan’s Reclaiming Voice </w:t>
      </w:r>
      <w:r w:rsidR="00533A55" w:rsidRPr="008B7AA7">
        <w:rPr>
          <w:sz w:val="36"/>
          <w:szCs w:val="36"/>
        </w:rPr>
        <w:t xml:space="preserve">report </w:t>
      </w:r>
      <w:r w:rsidR="00A57560" w:rsidRPr="008B7AA7">
        <w:rPr>
          <w:sz w:val="36"/>
          <w:szCs w:val="36"/>
        </w:rPr>
        <w:t>details</w:t>
      </w:r>
      <w:r w:rsidRPr="008B7AA7">
        <w:rPr>
          <w:sz w:val="36"/>
          <w:szCs w:val="36"/>
        </w:rPr>
        <w:t xml:space="preserve"> </w:t>
      </w:r>
      <w:r w:rsidR="00A57560" w:rsidRPr="008B7AA7">
        <w:rPr>
          <w:sz w:val="36"/>
          <w:szCs w:val="36"/>
        </w:rPr>
        <w:t>how</w:t>
      </w:r>
      <w:r w:rsidRPr="008B7AA7">
        <w:rPr>
          <w:sz w:val="36"/>
          <w:szCs w:val="36"/>
        </w:rPr>
        <w:t xml:space="preserve"> statutory agencies can miss or dismiss online abuse, such as image-based abuse, experienced by minoritised women due to cultural assumptions about whether certain women, such as married Muslim women, are vulnerable to such abuse.</w:t>
      </w:r>
      <w:r w:rsidRPr="008B7AA7">
        <w:rPr>
          <w:rStyle w:val="FootnoteReference"/>
          <w:sz w:val="36"/>
          <w:szCs w:val="36"/>
        </w:rPr>
        <w:footnoteReference w:id="56"/>
      </w:r>
      <w:r w:rsidRPr="008B7AA7">
        <w:rPr>
          <w:sz w:val="36"/>
          <w:szCs w:val="36"/>
        </w:rPr>
        <w:t xml:space="preserve"> In </w:t>
      </w:r>
      <w:r w:rsidR="001C2CD5">
        <w:rPr>
          <w:sz w:val="36"/>
          <w:szCs w:val="36"/>
        </w:rPr>
        <w:t xml:space="preserve">one of </w:t>
      </w:r>
      <w:r w:rsidRPr="008B7AA7">
        <w:rPr>
          <w:sz w:val="36"/>
          <w:szCs w:val="36"/>
        </w:rPr>
        <w:t>th</w:t>
      </w:r>
      <w:r w:rsidR="00DC007D" w:rsidRPr="008B7AA7">
        <w:rPr>
          <w:sz w:val="36"/>
          <w:szCs w:val="36"/>
        </w:rPr>
        <w:t>e</w:t>
      </w:r>
      <w:r w:rsidRPr="008B7AA7">
        <w:rPr>
          <w:sz w:val="36"/>
          <w:szCs w:val="36"/>
        </w:rPr>
        <w:t xml:space="preserve"> case stud</w:t>
      </w:r>
      <w:r w:rsidR="001C2CD5">
        <w:rPr>
          <w:sz w:val="36"/>
          <w:szCs w:val="36"/>
        </w:rPr>
        <w:t xml:space="preserve">ies </w:t>
      </w:r>
      <w:r w:rsidR="00DC007D" w:rsidRPr="008B7AA7">
        <w:rPr>
          <w:sz w:val="36"/>
          <w:szCs w:val="36"/>
        </w:rPr>
        <w:t>presented</w:t>
      </w:r>
      <w:r w:rsidRPr="008B7AA7">
        <w:rPr>
          <w:sz w:val="36"/>
          <w:szCs w:val="36"/>
        </w:rPr>
        <w:t>, it is clear that assumption</w:t>
      </w:r>
      <w:r w:rsidR="00C32480" w:rsidRPr="008B7AA7">
        <w:rPr>
          <w:sz w:val="36"/>
          <w:szCs w:val="36"/>
        </w:rPr>
        <w:t>s</w:t>
      </w:r>
      <w:r w:rsidRPr="008B7AA7">
        <w:rPr>
          <w:sz w:val="36"/>
          <w:szCs w:val="36"/>
        </w:rPr>
        <w:t xml:space="preserve"> about who experiences image-based abuse and how it is perpetrated are also based on a misunderstanding that online abuse can be understood separately from other forms of VAWG</w:t>
      </w:r>
      <w:r w:rsidR="00DC007D" w:rsidRPr="008B7AA7">
        <w:rPr>
          <w:sz w:val="36"/>
          <w:szCs w:val="36"/>
        </w:rPr>
        <w:t xml:space="preserve">, </w:t>
      </w:r>
      <w:r w:rsidRPr="008B7AA7">
        <w:rPr>
          <w:sz w:val="36"/>
          <w:szCs w:val="36"/>
        </w:rPr>
        <w:t xml:space="preserve">when image-based abuse, online stalking and various other forms of online abuse </w:t>
      </w:r>
      <w:r w:rsidR="00C32480" w:rsidRPr="008B7AA7">
        <w:rPr>
          <w:sz w:val="36"/>
          <w:szCs w:val="36"/>
        </w:rPr>
        <w:t xml:space="preserve">are often perpetrated within a context of </w:t>
      </w:r>
      <w:r w:rsidRPr="008B7AA7">
        <w:rPr>
          <w:sz w:val="36"/>
          <w:szCs w:val="36"/>
        </w:rPr>
        <w:t>sexual and domestic abuse.</w:t>
      </w:r>
      <w:r w:rsidR="00A57560" w:rsidRPr="008B7AA7">
        <w:rPr>
          <w:sz w:val="36"/>
          <w:szCs w:val="36"/>
        </w:rPr>
        <w:t xml:space="preserve"> </w:t>
      </w:r>
    </w:p>
    <w:p w14:paraId="142A0908" w14:textId="12021BCC" w:rsidR="00A57560" w:rsidRPr="00BD133E" w:rsidRDefault="00A57560" w:rsidP="00A752B9">
      <w:pPr>
        <w:rPr>
          <w:b/>
          <w:bCs/>
          <w:sz w:val="36"/>
          <w:szCs w:val="36"/>
        </w:rPr>
      </w:pPr>
      <w:r w:rsidRPr="00BD133E">
        <w:rPr>
          <w:b/>
          <w:bCs/>
          <w:sz w:val="36"/>
          <w:szCs w:val="36"/>
        </w:rPr>
        <w:lastRenderedPageBreak/>
        <w:t xml:space="preserve">Rape Review </w:t>
      </w:r>
    </w:p>
    <w:p w14:paraId="75F10D3D" w14:textId="38BE3DE5" w:rsidR="00A57560" w:rsidRPr="008B7AA7" w:rsidRDefault="00A57560">
      <w:pPr>
        <w:rPr>
          <w:sz w:val="36"/>
          <w:szCs w:val="36"/>
        </w:rPr>
      </w:pPr>
      <w:r w:rsidRPr="008B7AA7">
        <w:rPr>
          <w:sz w:val="36"/>
          <w:szCs w:val="36"/>
        </w:rPr>
        <w:t xml:space="preserve">The Government’s “end to end” review of the treatment of rape in the criminal justice system is set to conclude in 2021 following delays to the review which was due to be published in 2020. </w:t>
      </w:r>
    </w:p>
    <w:p w14:paraId="467CFB24" w14:textId="2AF5F608" w:rsidR="00A57560" w:rsidRPr="008B7AA7" w:rsidRDefault="00A57560">
      <w:pPr>
        <w:rPr>
          <w:sz w:val="36"/>
          <w:szCs w:val="36"/>
        </w:rPr>
      </w:pPr>
    </w:p>
    <w:p w14:paraId="4B123928" w14:textId="2AD4775C" w:rsidR="00FF1791" w:rsidRPr="008B7AA7" w:rsidRDefault="00A57560" w:rsidP="00FF1791">
      <w:pPr>
        <w:rPr>
          <w:rFonts w:ascii="Calibri" w:hAnsi="Calibri" w:cs="Calibri"/>
          <w:color w:val="000000"/>
          <w:sz w:val="36"/>
          <w:szCs w:val="36"/>
          <w:shd w:val="clear" w:color="auto" w:fill="FFFFFF"/>
        </w:rPr>
      </w:pPr>
      <w:r w:rsidRPr="008B7AA7">
        <w:rPr>
          <w:sz w:val="36"/>
          <w:szCs w:val="36"/>
        </w:rPr>
        <w:t>Ensuring those who access the criminal justice system are treated with dignity and respect is vital</w:t>
      </w:r>
      <w:r w:rsidR="00C32480" w:rsidRPr="008B7AA7">
        <w:rPr>
          <w:sz w:val="36"/>
          <w:szCs w:val="36"/>
        </w:rPr>
        <w:t>; here it is critical to note</w:t>
      </w:r>
      <w:r w:rsidRPr="008B7AA7">
        <w:rPr>
          <w:sz w:val="36"/>
          <w:szCs w:val="36"/>
        </w:rPr>
        <w:t xml:space="preserve"> that the vast majority of victim</w:t>
      </w:r>
      <w:r w:rsidR="004E60A3" w:rsidRPr="008B7AA7">
        <w:rPr>
          <w:sz w:val="36"/>
          <w:szCs w:val="36"/>
        </w:rPr>
        <w:t>-</w:t>
      </w:r>
      <w:r w:rsidRPr="008B7AA7">
        <w:rPr>
          <w:sz w:val="36"/>
          <w:szCs w:val="36"/>
        </w:rPr>
        <w:t>survivors of sexual violence and assault never report to the police with latest ONS data showing only 17% doing so.</w:t>
      </w:r>
      <w:r w:rsidRPr="008B7AA7">
        <w:rPr>
          <w:rStyle w:val="FootnoteReference"/>
          <w:sz w:val="36"/>
          <w:szCs w:val="36"/>
        </w:rPr>
        <w:footnoteReference w:id="57"/>
      </w:r>
      <w:r w:rsidRPr="008B7AA7">
        <w:rPr>
          <w:sz w:val="36"/>
          <w:szCs w:val="36"/>
        </w:rPr>
        <w:t xml:space="preserve"> There can be many reasons for this, such fear that their information will be shared for immigration enforcement purposes for women with insecure immigration status (see below for more information)</w:t>
      </w:r>
      <w:r w:rsidR="00C32480" w:rsidRPr="008B7AA7">
        <w:rPr>
          <w:sz w:val="36"/>
          <w:szCs w:val="36"/>
        </w:rPr>
        <w:t>,</w:t>
      </w:r>
      <w:r w:rsidRPr="008B7AA7">
        <w:rPr>
          <w:sz w:val="36"/>
          <w:szCs w:val="36"/>
        </w:rPr>
        <w:t xml:space="preserve"> or as a result of </w:t>
      </w:r>
      <w:r w:rsidR="00533A55" w:rsidRPr="008B7AA7">
        <w:rPr>
          <w:sz w:val="36"/>
          <w:szCs w:val="36"/>
        </w:rPr>
        <w:t xml:space="preserve">negative engagement with the police as can </w:t>
      </w:r>
    </w:p>
    <w:p w14:paraId="08802188" w14:textId="33F3D160" w:rsidR="00A57560" w:rsidRPr="008B7AA7" w:rsidRDefault="00FF1791">
      <w:pPr>
        <w:rPr>
          <w:sz w:val="36"/>
          <w:szCs w:val="36"/>
        </w:rPr>
      </w:pPr>
      <w:r w:rsidRPr="008B7AA7">
        <w:rPr>
          <w:rFonts w:ascii="Calibri" w:hAnsi="Calibri" w:cs="Calibri"/>
          <w:color w:val="000000"/>
          <w:sz w:val="36"/>
          <w:szCs w:val="36"/>
          <w:shd w:val="clear" w:color="auto" w:fill="FFFFFF"/>
        </w:rPr>
        <w:t xml:space="preserve">arise </w:t>
      </w:r>
      <w:r w:rsidR="00533A55" w:rsidRPr="008B7AA7">
        <w:rPr>
          <w:sz w:val="36"/>
          <w:szCs w:val="36"/>
        </w:rPr>
        <w:t>for Black victim</w:t>
      </w:r>
      <w:r w:rsidR="004E60A3" w:rsidRPr="008B7AA7">
        <w:rPr>
          <w:sz w:val="36"/>
          <w:szCs w:val="36"/>
        </w:rPr>
        <w:t>-</w:t>
      </w:r>
      <w:r w:rsidR="00533A55" w:rsidRPr="008B7AA7">
        <w:rPr>
          <w:sz w:val="36"/>
          <w:szCs w:val="36"/>
        </w:rPr>
        <w:t xml:space="preserve">survivors of VAWG. </w:t>
      </w:r>
      <w:r w:rsidR="00B966B0" w:rsidRPr="008B7AA7">
        <w:rPr>
          <w:sz w:val="36"/>
          <w:szCs w:val="36"/>
        </w:rPr>
        <w:t>As</w:t>
      </w:r>
      <w:r w:rsidR="00533A55" w:rsidRPr="008B7AA7">
        <w:rPr>
          <w:sz w:val="36"/>
          <w:szCs w:val="36"/>
        </w:rPr>
        <w:t xml:space="preserve"> </w:t>
      </w:r>
      <w:r w:rsidR="00B966B0" w:rsidRPr="008B7AA7">
        <w:rPr>
          <w:sz w:val="36"/>
          <w:szCs w:val="36"/>
        </w:rPr>
        <w:t>stated</w:t>
      </w:r>
      <w:r w:rsidR="00533A55" w:rsidRPr="008B7AA7">
        <w:rPr>
          <w:sz w:val="36"/>
          <w:szCs w:val="36"/>
        </w:rPr>
        <w:t xml:space="preserve"> </w:t>
      </w:r>
      <w:r w:rsidR="00B966B0" w:rsidRPr="008B7AA7">
        <w:rPr>
          <w:sz w:val="36"/>
          <w:szCs w:val="36"/>
        </w:rPr>
        <w:t xml:space="preserve">by </w:t>
      </w:r>
      <w:r w:rsidR="00533A55" w:rsidRPr="008B7AA7">
        <w:rPr>
          <w:sz w:val="36"/>
          <w:szCs w:val="36"/>
        </w:rPr>
        <w:t>Ngozi Fulani, founder of “by and for” African heritage domestic abuse service Sistah Space, “</w:t>
      </w:r>
      <w:r w:rsidR="00B966B0" w:rsidRPr="008B7AA7">
        <w:rPr>
          <w:sz w:val="36"/>
          <w:szCs w:val="36"/>
        </w:rPr>
        <w:t>W</w:t>
      </w:r>
      <w:r w:rsidR="00533A55" w:rsidRPr="008B7AA7">
        <w:rPr>
          <w:sz w:val="36"/>
          <w:szCs w:val="36"/>
        </w:rPr>
        <w:t>omen want the abuse to stop but we know what happens to black men in police custody …“These women do not want to risk their abusers being hurt or murdered.”</w:t>
      </w:r>
      <w:r w:rsidR="00533A55" w:rsidRPr="008B7AA7">
        <w:rPr>
          <w:rStyle w:val="FootnoteReference"/>
          <w:sz w:val="36"/>
          <w:szCs w:val="36"/>
        </w:rPr>
        <w:footnoteReference w:id="58"/>
      </w:r>
    </w:p>
    <w:p w14:paraId="2127F44F" w14:textId="14D4355F" w:rsidR="00533A55" w:rsidRPr="008B7AA7" w:rsidRDefault="00533A55">
      <w:pPr>
        <w:rPr>
          <w:sz w:val="36"/>
          <w:szCs w:val="36"/>
        </w:rPr>
      </w:pPr>
    </w:p>
    <w:p w14:paraId="2C10399B" w14:textId="2939600F" w:rsidR="00533A55" w:rsidRPr="008B7AA7" w:rsidRDefault="00533A55">
      <w:pPr>
        <w:rPr>
          <w:sz w:val="36"/>
          <w:szCs w:val="36"/>
        </w:rPr>
      </w:pPr>
      <w:r w:rsidRPr="008B7AA7">
        <w:rPr>
          <w:sz w:val="36"/>
          <w:szCs w:val="36"/>
        </w:rPr>
        <w:t xml:space="preserve">With this noted, the high prevalence and harm of sexual violence demand serious Ministerial attention to examine and address what is going wrong in the criminal justice system when prosecuting rape. </w:t>
      </w:r>
      <w:r w:rsidR="00E10E44" w:rsidRPr="008B7AA7">
        <w:rPr>
          <w:sz w:val="36"/>
          <w:szCs w:val="36"/>
        </w:rPr>
        <w:t xml:space="preserve">Measures needed include the reintroduction </w:t>
      </w:r>
      <w:r w:rsidR="00E10E44" w:rsidRPr="008B7AA7">
        <w:rPr>
          <w:sz w:val="36"/>
          <w:szCs w:val="36"/>
        </w:rPr>
        <w:lastRenderedPageBreak/>
        <w:t>of the merits-based approach</w:t>
      </w:r>
      <w:r w:rsidR="002B1ECF" w:rsidRPr="008B7AA7">
        <w:rPr>
          <w:sz w:val="36"/>
          <w:szCs w:val="36"/>
        </w:rPr>
        <w:t xml:space="preserve"> in CPS guidance and </w:t>
      </w:r>
      <w:r w:rsidRPr="008B7AA7">
        <w:rPr>
          <w:sz w:val="36"/>
          <w:szCs w:val="36"/>
        </w:rPr>
        <w:t>in-depth training to address long-held</w:t>
      </w:r>
      <w:r w:rsidR="00C32480" w:rsidRPr="008B7AA7">
        <w:rPr>
          <w:sz w:val="36"/>
          <w:szCs w:val="36"/>
        </w:rPr>
        <w:t>, harmful</w:t>
      </w:r>
      <w:r w:rsidRPr="008B7AA7">
        <w:rPr>
          <w:sz w:val="36"/>
          <w:szCs w:val="36"/>
        </w:rPr>
        <w:t xml:space="preserve"> rape myths relating to race/ethnicity, sexuality, disability and social class about minoritised and marginalised victim</w:t>
      </w:r>
      <w:r w:rsidR="004E60A3" w:rsidRPr="008B7AA7">
        <w:rPr>
          <w:sz w:val="36"/>
          <w:szCs w:val="36"/>
        </w:rPr>
        <w:t>-s</w:t>
      </w:r>
      <w:r w:rsidRPr="008B7AA7">
        <w:rPr>
          <w:sz w:val="36"/>
          <w:szCs w:val="36"/>
        </w:rPr>
        <w:t xml:space="preserve">urvivors. </w:t>
      </w:r>
      <w:r w:rsidR="00496F82" w:rsidRPr="008B7AA7">
        <w:rPr>
          <w:sz w:val="36"/>
          <w:szCs w:val="36"/>
        </w:rPr>
        <w:t>Furthermore, in-depth, independent research is needed to examine who is and is not reporting to address these barriers, as well as victim</w:t>
      </w:r>
      <w:r w:rsidR="004E60A3" w:rsidRPr="008B7AA7">
        <w:rPr>
          <w:sz w:val="36"/>
          <w:szCs w:val="36"/>
        </w:rPr>
        <w:t>-</w:t>
      </w:r>
      <w:r w:rsidR="00496F82" w:rsidRPr="008B7AA7">
        <w:rPr>
          <w:sz w:val="36"/>
          <w:szCs w:val="36"/>
        </w:rPr>
        <w:t>survivors</w:t>
      </w:r>
      <w:r w:rsidR="00B966B0" w:rsidRPr="008B7AA7">
        <w:rPr>
          <w:sz w:val="36"/>
          <w:szCs w:val="36"/>
        </w:rPr>
        <w:t xml:space="preserve">’ </w:t>
      </w:r>
      <w:r w:rsidR="00496F82" w:rsidRPr="008B7AA7">
        <w:rPr>
          <w:sz w:val="36"/>
          <w:szCs w:val="36"/>
        </w:rPr>
        <w:t>priorities to understand what justice truly looks like for them.</w:t>
      </w:r>
      <w:r w:rsidR="00FF1791" w:rsidRPr="008B7AA7">
        <w:rPr>
          <w:rStyle w:val="FootnoteReference"/>
          <w:sz w:val="36"/>
          <w:szCs w:val="36"/>
        </w:rPr>
        <w:footnoteReference w:id="59"/>
      </w:r>
    </w:p>
    <w:p w14:paraId="519A8990" w14:textId="77777777" w:rsidR="00A57560" w:rsidRPr="008B7AA7" w:rsidRDefault="00A57560">
      <w:pPr>
        <w:rPr>
          <w:sz w:val="36"/>
          <w:szCs w:val="36"/>
        </w:rPr>
      </w:pPr>
    </w:p>
    <w:p w14:paraId="6895F53A" w14:textId="63A6257C" w:rsidR="00D11B03" w:rsidRDefault="000E71D5" w:rsidP="00A752B9">
      <w:pPr>
        <w:rPr>
          <w:b/>
          <w:bCs/>
          <w:sz w:val="36"/>
          <w:szCs w:val="36"/>
        </w:rPr>
      </w:pPr>
      <w:r w:rsidRPr="00BD133E">
        <w:rPr>
          <w:b/>
          <w:bCs/>
          <w:sz w:val="36"/>
          <w:szCs w:val="36"/>
        </w:rPr>
        <w:t>Hostile environment</w:t>
      </w:r>
      <w:r w:rsidR="003E382E" w:rsidRPr="00BD133E">
        <w:rPr>
          <w:b/>
          <w:bCs/>
          <w:sz w:val="36"/>
          <w:szCs w:val="36"/>
        </w:rPr>
        <w:t xml:space="preserve"> and VAWG</w:t>
      </w:r>
    </w:p>
    <w:p w14:paraId="45C95C89" w14:textId="5BF26852" w:rsidR="00D11B03" w:rsidRPr="008B7AA7" w:rsidRDefault="00D11B03" w:rsidP="00C32480">
      <w:pPr>
        <w:rPr>
          <w:sz w:val="36"/>
          <w:szCs w:val="36"/>
        </w:rPr>
      </w:pPr>
      <w:r w:rsidRPr="008B7AA7">
        <w:rPr>
          <w:sz w:val="36"/>
          <w:szCs w:val="36"/>
        </w:rPr>
        <w:t xml:space="preserve">The Domestic Abuse Bill continued its passage through Parliament in 2020, still without measures </w:t>
      </w:r>
      <w:r w:rsidR="00C32480" w:rsidRPr="008B7AA7">
        <w:rPr>
          <w:sz w:val="36"/>
          <w:szCs w:val="36"/>
        </w:rPr>
        <w:t>that enable</w:t>
      </w:r>
      <w:r w:rsidRPr="008B7AA7">
        <w:rPr>
          <w:sz w:val="36"/>
          <w:szCs w:val="36"/>
        </w:rPr>
        <w:t xml:space="preserve"> migrant women </w:t>
      </w:r>
      <w:r w:rsidR="00FF1791" w:rsidRPr="008B7AA7">
        <w:rPr>
          <w:sz w:val="36"/>
          <w:szCs w:val="36"/>
        </w:rPr>
        <w:t xml:space="preserve">who are </w:t>
      </w:r>
      <w:r w:rsidRPr="008B7AA7">
        <w:rPr>
          <w:sz w:val="36"/>
          <w:szCs w:val="36"/>
        </w:rPr>
        <w:t>domestic abuse victim</w:t>
      </w:r>
      <w:r w:rsidR="004E60A3" w:rsidRPr="008B7AA7">
        <w:rPr>
          <w:sz w:val="36"/>
          <w:szCs w:val="36"/>
        </w:rPr>
        <w:t>-</w:t>
      </w:r>
      <w:r w:rsidRPr="008B7AA7">
        <w:rPr>
          <w:sz w:val="36"/>
          <w:szCs w:val="36"/>
        </w:rPr>
        <w:t xml:space="preserve">survivors </w:t>
      </w:r>
      <w:r w:rsidR="00C32480" w:rsidRPr="008B7AA7">
        <w:rPr>
          <w:sz w:val="36"/>
          <w:szCs w:val="36"/>
        </w:rPr>
        <w:t xml:space="preserve">to </w:t>
      </w:r>
      <w:r w:rsidRPr="008B7AA7">
        <w:rPr>
          <w:sz w:val="36"/>
          <w:szCs w:val="36"/>
        </w:rPr>
        <w:t xml:space="preserve">equally access protection and support. </w:t>
      </w:r>
      <w:r w:rsidR="001C2CD5" w:rsidRPr="008B7AA7">
        <w:rPr>
          <w:sz w:val="36"/>
          <w:szCs w:val="36"/>
        </w:rPr>
        <w:t>Almost half of all the women that struggled to find a refuge space in the past year (identified through Women’s Aid No Woman Turned Away project)</w:t>
      </w:r>
      <w:r w:rsidR="001C2CD5" w:rsidRPr="008B7AA7">
        <w:rPr>
          <w:rStyle w:val="FootnoteReference"/>
          <w:sz w:val="36"/>
          <w:szCs w:val="36"/>
        </w:rPr>
        <w:footnoteReference w:id="60"/>
      </w:r>
      <w:r w:rsidR="001C2CD5" w:rsidRPr="008B7AA7">
        <w:rPr>
          <w:sz w:val="36"/>
          <w:szCs w:val="36"/>
        </w:rPr>
        <w:t xml:space="preserve"> were from Black and minoritised backgrounds – a stark demonstration of how structural inequalities faced by Black, minoritised and migrant women cause harm for women seeking refuge following violence or abuse.</w:t>
      </w:r>
      <w:r w:rsidR="001C2CD5">
        <w:rPr>
          <w:sz w:val="36"/>
          <w:szCs w:val="36"/>
        </w:rPr>
        <w:t xml:space="preserve"> And o</w:t>
      </w:r>
      <w:r w:rsidR="001C2CD5" w:rsidRPr="008B7AA7">
        <w:rPr>
          <w:sz w:val="36"/>
          <w:szCs w:val="36"/>
        </w:rPr>
        <w:t xml:space="preserve">nly </w:t>
      </w:r>
      <w:r w:rsidRPr="008B7AA7">
        <w:rPr>
          <w:sz w:val="36"/>
          <w:szCs w:val="36"/>
        </w:rPr>
        <w:t xml:space="preserve">5% of refuge spaces </w:t>
      </w:r>
      <w:r w:rsidR="002B1FD8" w:rsidRPr="008B7AA7">
        <w:rPr>
          <w:sz w:val="36"/>
          <w:szCs w:val="36"/>
        </w:rPr>
        <w:t>were reported as being available to women with No Recourse for Public Funds.</w:t>
      </w:r>
      <w:r w:rsidR="002B1FD8" w:rsidRPr="008B7AA7">
        <w:rPr>
          <w:rStyle w:val="FootnoteReference"/>
          <w:sz w:val="36"/>
          <w:szCs w:val="36"/>
        </w:rPr>
        <w:footnoteReference w:id="61"/>
      </w:r>
      <w:r w:rsidR="002B1FD8" w:rsidRPr="008B7AA7">
        <w:rPr>
          <w:sz w:val="36"/>
          <w:szCs w:val="36"/>
        </w:rPr>
        <w:t xml:space="preserve"> </w:t>
      </w:r>
    </w:p>
    <w:p w14:paraId="5DFADCA2" w14:textId="21527846" w:rsidR="00D11B03" w:rsidRPr="008B7AA7" w:rsidRDefault="00D11B03">
      <w:pPr>
        <w:rPr>
          <w:sz w:val="36"/>
          <w:szCs w:val="36"/>
        </w:rPr>
      </w:pPr>
    </w:p>
    <w:p w14:paraId="70F6396A" w14:textId="3450980B" w:rsidR="002B1FD8" w:rsidRPr="008B7AA7" w:rsidRDefault="002B1FD8" w:rsidP="002B1FD8">
      <w:pPr>
        <w:rPr>
          <w:sz w:val="36"/>
          <w:szCs w:val="36"/>
        </w:rPr>
      </w:pPr>
      <w:r w:rsidRPr="008B7AA7">
        <w:rPr>
          <w:sz w:val="36"/>
          <w:szCs w:val="36"/>
        </w:rPr>
        <w:lastRenderedPageBreak/>
        <w:t>Research has shown that women with insecure immigration status are deterred from reporting abuse to the police. The Step Up Migrant Women Campaign</w:t>
      </w:r>
      <w:r w:rsidR="00DC007D" w:rsidRPr="008B7AA7">
        <w:rPr>
          <w:rStyle w:val="FootnoteReference"/>
          <w:sz w:val="36"/>
          <w:szCs w:val="36"/>
        </w:rPr>
        <w:footnoteReference w:id="62"/>
      </w:r>
      <w:r w:rsidR="00DC007D" w:rsidRPr="008B7AA7">
        <w:rPr>
          <w:sz w:val="36"/>
          <w:szCs w:val="36"/>
        </w:rPr>
        <w:t xml:space="preserve"> </w:t>
      </w:r>
      <w:r w:rsidR="009C08E1" w:rsidRPr="008B7AA7">
        <w:rPr>
          <w:sz w:val="36"/>
          <w:szCs w:val="36"/>
        </w:rPr>
        <w:t xml:space="preserve">led by the Latin American Women’s Rights Service </w:t>
      </w:r>
      <w:r w:rsidRPr="008B7AA7">
        <w:rPr>
          <w:sz w:val="36"/>
          <w:szCs w:val="36"/>
        </w:rPr>
        <w:t xml:space="preserve">has found </w:t>
      </w:r>
      <w:r w:rsidR="009C08E1" w:rsidRPr="008B7AA7">
        <w:rPr>
          <w:sz w:val="36"/>
          <w:szCs w:val="36"/>
        </w:rPr>
        <w:t xml:space="preserve">that </w:t>
      </w:r>
      <w:r w:rsidRPr="008B7AA7">
        <w:rPr>
          <w:sz w:val="36"/>
          <w:szCs w:val="36"/>
        </w:rPr>
        <w:t xml:space="preserve">some police officers can act as immigration enforcement agents </w:t>
      </w:r>
      <w:r w:rsidR="009C08E1" w:rsidRPr="008B7AA7">
        <w:rPr>
          <w:sz w:val="36"/>
          <w:szCs w:val="36"/>
        </w:rPr>
        <w:t xml:space="preserve">rather than acting to protect and investigate crimes reported by women with immigration issues </w:t>
      </w:r>
      <w:r w:rsidRPr="008B7AA7">
        <w:rPr>
          <w:sz w:val="36"/>
          <w:szCs w:val="36"/>
        </w:rPr>
        <w:t xml:space="preserve">due to a lack of clear rules. </w:t>
      </w:r>
    </w:p>
    <w:p w14:paraId="3D74C00E" w14:textId="77777777" w:rsidR="002B1FD8" w:rsidRPr="008B7AA7" w:rsidRDefault="002B1FD8" w:rsidP="002B1FD8">
      <w:pPr>
        <w:rPr>
          <w:sz w:val="36"/>
          <w:szCs w:val="36"/>
        </w:rPr>
      </w:pPr>
    </w:p>
    <w:p w14:paraId="1CC0A74A" w14:textId="3B638EF5" w:rsidR="002B1FD8" w:rsidRPr="008B7AA7" w:rsidRDefault="002B1FD8" w:rsidP="002B1FD8">
      <w:pPr>
        <w:rPr>
          <w:sz w:val="36"/>
          <w:szCs w:val="36"/>
        </w:rPr>
      </w:pPr>
      <w:r w:rsidRPr="008B7AA7">
        <w:rPr>
          <w:sz w:val="36"/>
          <w:szCs w:val="36"/>
        </w:rPr>
        <w:t>These barriers to reporting for migrant victim</w:t>
      </w:r>
      <w:r w:rsidR="004E60A3" w:rsidRPr="008B7AA7">
        <w:rPr>
          <w:sz w:val="36"/>
          <w:szCs w:val="36"/>
        </w:rPr>
        <w:t>-</w:t>
      </w:r>
      <w:r w:rsidR="00A57560" w:rsidRPr="008B7AA7">
        <w:rPr>
          <w:sz w:val="36"/>
          <w:szCs w:val="36"/>
        </w:rPr>
        <w:t>survivor</w:t>
      </w:r>
      <w:r w:rsidRPr="008B7AA7">
        <w:rPr>
          <w:sz w:val="36"/>
          <w:szCs w:val="36"/>
        </w:rPr>
        <w:t xml:space="preserve">s of domestic abuse are made clear in the recently published </w:t>
      </w:r>
      <w:r w:rsidR="009C08E1" w:rsidRPr="008B7AA7">
        <w:rPr>
          <w:sz w:val="36"/>
          <w:szCs w:val="36"/>
        </w:rPr>
        <w:t xml:space="preserve">joint </w:t>
      </w:r>
      <w:r w:rsidRPr="008B7AA7">
        <w:rPr>
          <w:sz w:val="36"/>
          <w:szCs w:val="36"/>
        </w:rPr>
        <w:t xml:space="preserve">HMICFRS </w:t>
      </w:r>
      <w:r w:rsidR="009C08E1" w:rsidRPr="008B7AA7">
        <w:rPr>
          <w:sz w:val="36"/>
          <w:szCs w:val="36"/>
        </w:rPr>
        <w:t xml:space="preserve">IOPC </w:t>
      </w:r>
      <w:r w:rsidR="001C2CD5" w:rsidRPr="00A7547E">
        <w:rPr>
          <w:sz w:val="36"/>
          <w:szCs w:val="36"/>
        </w:rPr>
        <w:t xml:space="preserve">(HM Inspectorate of Constabulary and Fire &amp; Rescue Services and Independent Office for Police Conduct) </w:t>
      </w:r>
      <w:r w:rsidR="009C08E1" w:rsidRPr="008B7AA7">
        <w:rPr>
          <w:sz w:val="36"/>
          <w:szCs w:val="36"/>
        </w:rPr>
        <w:t xml:space="preserve">and College of Policing </w:t>
      </w:r>
      <w:r w:rsidRPr="008B7AA7">
        <w:rPr>
          <w:sz w:val="36"/>
          <w:szCs w:val="36"/>
        </w:rPr>
        <w:t>report into the super-complaint submitted by Southall Black Sisters and Liberty.</w:t>
      </w:r>
      <w:r w:rsidR="00DC007D" w:rsidRPr="008B7AA7">
        <w:rPr>
          <w:rStyle w:val="FootnoteReference"/>
          <w:sz w:val="36"/>
          <w:szCs w:val="36"/>
        </w:rPr>
        <w:footnoteReference w:id="63"/>
      </w:r>
      <w:r w:rsidRPr="008B7AA7">
        <w:rPr>
          <w:sz w:val="36"/>
          <w:szCs w:val="36"/>
        </w:rPr>
        <w:t xml:space="preserve"> This report found no evidence that the police sharing information with the Home Office supports the safeguarding of domestic abuse victi</w:t>
      </w:r>
      <w:r w:rsidR="00CA740A" w:rsidRPr="008B7AA7">
        <w:rPr>
          <w:sz w:val="36"/>
          <w:szCs w:val="36"/>
        </w:rPr>
        <w:t>m</w:t>
      </w:r>
      <w:r w:rsidR="004E60A3" w:rsidRPr="008B7AA7">
        <w:rPr>
          <w:sz w:val="36"/>
          <w:szCs w:val="36"/>
        </w:rPr>
        <w:t>-</w:t>
      </w:r>
      <w:r w:rsidR="00A57560" w:rsidRPr="008B7AA7">
        <w:rPr>
          <w:sz w:val="36"/>
          <w:szCs w:val="36"/>
        </w:rPr>
        <w:t>survivors</w:t>
      </w:r>
      <w:r w:rsidRPr="008B7AA7">
        <w:rPr>
          <w:sz w:val="36"/>
          <w:szCs w:val="36"/>
        </w:rPr>
        <w:t>. Furthermore, it makes clear recommendations that police officers with concerns about a victim</w:t>
      </w:r>
      <w:r w:rsidR="004E60A3" w:rsidRPr="008B7AA7">
        <w:rPr>
          <w:sz w:val="36"/>
          <w:szCs w:val="36"/>
        </w:rPr>
        <w:t>-</w:t>
      </w:r>
      <w:r w:rsidR="00A57560" w:rsidRPr="008B7AA7">
        <w:rPr>
          <w:sz w:val="36"/>
          <w:szCs w:val="36"/>
        </w:rPr>
        <w:t>survivor’s</w:t>
      </w:r>
      <w:r w:rsidRPr="008B7AA7">
        <w:rPr>
          <w:sz w:val="36"/>
          <w:szCs w:val="36"/>
        </w:rPr>
        <w:t xml:space="preserve"> immigration status should immediately stop sharing information on them with Immigration Enforcement and that a firewall between the police and Home Office should be considered. </w:t>
      </w:r>
    </w:p>
    <w:p w14:paraId="73DCDEDB" w14:textId="10E47040" w:rsidR="002B1FD8" w:rsidRPr="008B7AA7" w:rsidRDefault="002B1FD8" w:rsidP="002B1FD8">
      <w:pPr>
        <w:rPr>
          <w:sz w:val="36"/>
          <w:szCs w:val="36"/>
        </w:rPr>
      </w:pPr>
    </w:p>
    <w:p w14:paraId="5503F63E" w14:textId="49359E27" w:rsidR="00C3276C" w:rsidRPr="008B7AA7" w:rsidRDefault="002B1ECF" w:rsidP="002B1FD8">
      <w:pPr>
        <w:rPr>
          <w:sz w:val="36"/>
          <w:szCs w:val="36"/>
        </w:rPr>
      </w:pPr>
      <w:r w:rsidRPr="008B7AA7">
        <w:rPr>
          <w:sz w:val="36"/>
          <w:szCs w:val="36"/>
        </w:rPr>
        <w:t xml:space="preserve">Protection for migrant women in the Domestic Abuse Bill would ensure that the Government meets the requirements of Article </w:t>
      </w:r>
      <w:r w:rsidRPr="008B7AA7">
        <w:rPr>
          <w:sz w:val="36"/>
          <w:szCs w:val="36"/>
        </w:rPr>
        <w:lastRenderedPageBreak/>
        <w:t xml:space="preserve">4(3) of the Istanbul Convention which the UK signed over eight years ago but has since failed to ratify. Article 4(3) is clear that </w:t>
      </w:r>
      <w:r w:rsidR="00A9759D" w:rsidRPr="008B7AA7">
        <w:rPr>
          <w:sz w:val="36"/>
          <w:szCs w:val="36"/>
        </w:rPr>
        <w:t>access to protection and support from VAWG shall be secured without discrimination on any ground including migrant or refugee status. Though the UK is compliant with most of the Istanbul Convention, the latest report</w:t>
      </w:r>
      <w:r w:rsidR="00A9759D" w:rsidRPr="008B7AA7">
        <w:rPr>
          <w:rStyle w:val="FootnoteReference"/>
          <w:sz w:val="36"/>
          <w:szCs w:val="36"/>
        </w:rPr>
        <w:footnoteReference w:id="64"/>
      </w:r>
      <w:r w:rsidR="00A9759D" w:rsidRPr="008B7AA7">
        <w:rPr>
          <w:sz w:val="36"/>
          <w:szCs w:val="36"/>
        </w:rPr>
        <w:t xml:space="preserve"> on its progress to ratify show that its failure to protect and support migrant victim-survivors of VAWG still prevents it from being fully compliant.</w:t>
      </w:r>
    </w:p>
    <w:p w14:paraId="73E7280E" w14:textId="05F89C7F" w:rsidR="00C3276C" w:rsidRPr="008B7AA7" w:rsidRDefault="00C3276C" w:rsidP="002B1FD8">
      <w:pPr>
        <w:rPr>
          <w:sz w:val="36"/>
          <w:szCs w:val="36"/>
        </w:rPr>
      </w:pPr>
    </w:p>
    <w:p w14:paraId="1A159BE4" w14:textId="77777777" w:rsidR="00B31B14" w:rsidRDefault="00B31B14">
      <w:pPr>
        <w:rPr>
          <w:b/>
          <w:bCs/>
          <w:sz w:val="36"/>
          <w:szCs w:val="36"/>
        </w:rPr>
      </w:pPr>
      <w:r>
        <w:rPr>
          <w:b/>
          <w:bCs/>
          <w:sz w:val="36"/>
          <w:szCs w:val="36"/>
        </w:rPr>
        <w:br w:type="page"/>
      </w:r>
    </w:p>
    <w:p w14:paraId="74B6BD28" w14:textId="68F7B77D" w:rsidR="00C3276C" w:rsidRPr="00B31B14" w:rsidRDefault="00C3276C" w:rsidP="00BF1BA9">
      <w:pPr>
        <w:pStyle w:val="Heading1"/>
      </w:pPr>
      <w:bookmarkStart w:id="5" w:name="_Toc63778687"/>
      <w:r w:rsidRPr="00B31B14">
        <w:lastRenderedPageBreak/>
        <w:t>Recommendations</w:t>
      </w:r>
      <w:bookmarkEnd w:id="5"/>
    </w:p>
    <w:p w14:paraId="7218AB29" w14:textId="376B278D" w:rsidR="00C3276C" w:rsidRPr="008B7AA7" w:rsidRDefault="00C3276C" w:rsidP="002B1FD8">
      <w:pPr>
        <w:rPr>
          <w:sz w:val="36"/>
          <w:szCs w:val="36"/>
        </w:rPr>
      </w:pPr>
    </w:p>
    <w:p w14:paraId="24D9162E" w14:textId="0196FA77" w:rsidR="00C3276C" w:rsidRPr="008B7AA7" w:rsidRDefault="00881A8D" w:rsidP="000D43F9">
      <w:pPr>
        <w:pStyle w:val="ListParagraph"/>
        <w:numPr>
          <w:ilvl w:val="0"/>
          <w:numId w:val="2"/>
        </w:numPr>
        <w:ind w:left="709" w:right="559" w:hanging="709"/>
        <w:rPr>
          <w:b/>
          <w:bCs/>
          <w:sz w:val="36"/>
          <w:szCs w:val="36"/>
        </w:rPr>
      </w:pPr>
      <w:r w:rsidRPr="008B7AA7">
        <w:rPr>
          <w:b/>
          <w:bCs/>
          <w:sz w:val="36"/>
          <w:szCs w:val="36"/>
        </w:rPr>
        <w:t xml:space="preserve">A </w:t>
      </w:r>
      <w:r w:rsidR="00F62FB1" w:rsidRPr="008B7AA7">
        <w:rPr>
          <w:b/>
          <w:bCs/>
          <w:sz w:val="36"/>
          <w:szCs w:val="36"/>
        </w:rPr>
        <w:t>si</w:t>
      </w:r>
      <w:r w:rsidRPr="008B7AA7">
        <w:rPr>
          <w:b/>
          <w:bCs/>
          <w:sz w:val="36"/>
          <w:szCs w:val="36"/>
        </w:rPr>
        <w:t xml:space="preserve">ngle, </w:t>
      </w:r>
      <w:r w:rsidR="00F62FB1" w:rsidRPr="008B7AA7">
        <w:rPr>
          <w:b/>
          <w:bCs/>
          <w:sz w:val="36"/>
          <w:szCs w:val="36"/>
        </w:rPr>
        <w:t>j</w:t>
      </w:r>
      <w:r w:rsidRPr="008B7AA7">
        <w:rPr>
          <w:b/>
          <w:bCs/>
          <w:sz w:val="36"/>
          <w:szCs w:val="36"/>
        </w:rPr>
        <w:t>oined-up Violence Against Women and Girls Strategy</w:t>
      </w:r>
    </w:p>
    <w:p w14:paraId="2148A559" w14:textId="42232DD1" w:rsidR="00881A8D" w:rsidRDefault="00E10E44" w:rsidP="000D43F9">
      <w:pPr>
        <w:ind w:left="709" w:right="559"/>
        <w:rPr>
          <w:sz w:val="36"/>
          <w:szCs w:val="36"/>
        </w:rPr>
      </w:pPr>
      <w:r w:rsidRPr="00896338">
        <w:rPr>
          <w:rFonts w:ascii="Calibri" w:eastAsia="Times New Roman" w:hAnsi="Calibri" w:cs="Calibri"/>
          <w:sz w:val="36"/>
          <w:szCs w:val="36"/>
          <w:lang w:eastAsia="en-GB"/>
        </w:rPr>
        <w:t xml:space="preserve">A holistic VAWG strategy and framework, which is a high </w:t>
      </w:r>
      <w:r w:rsidR="000E45BF" w:rsidRPr="00896338">
        <w:rPr>
          <w:rFonts w:ascii="Calibri" w:eastAsia="Times New Roman" w:hAnsi="Calibri" w:cs="Calibri"/>
          <w:sz w:val="36"/>
          <w:szCs w:val="36"/>
          <w:lang w:eastAsia="en-GB"/>
        </w:rPr>
        <w:t xml:space="preserve">Government </w:t>
      </w:r>
      <w:r w:rsidRPr="00896338">
        <w:rPr>
          <w:rFonts w:ascii="Calibri" w:eastAsia="Times New Roman" w:hAnsi="Calibri" w:cs="Calibri"/>
          <w:sz w:val="36"/>
          <w:szCs w:val="36"/>
          <w:lang w:eastAsia="en-GB"/>
        </w:rPr>
        <w:t xml:space="preserve">priority, championed by Ministers, </w:t>
      </w:r>
      <w:r w:rsidR="009C08E1" w:rsidRPr="00896338">
        <w:rPr>
          <w:rFonts w:ascii="Calibri" w:eastAsia="Times New Roman" w:hAnsi="Calibri" w:cs="Calibri"/>
          <w:sz w:val="36"/>
          <w:szCs w:val="36"/>
          <w:lang w:eastAsia="en-GB"/>
        </w:rPr>
        <w:t xml:space="preserve">fully costed </w:t>
      </w:r>
      <w:r w:rsidRPr="00896338">
        <w:rPr>
          <w:rFonts w:ascii="Calibri" w:eastAsia="Times New Roman" w:hAnsi="Calibri" w:cs="Calibri"/>
          <w:sz w:val="36"/>
          <w:szCs w:val="36"/>
          <w:lang w:eastAsia="en-GB"/>
        </w:rPr>
        <w:t xml:space="preserve">and funded. This is the best </w:t>
      </w:r>
      <w:r w:rsidR="00E60E08" w:rsidRPr="00896338">
        <w:rPr>
          <w:rFonts w:ascii="Calibri" w:eastAsia="Times New Roman" w:hAnsi="Calibri" w:cs="Calibri"/>
          <w:sz w:val="36"/>
          <w:szCs w:val="36"/>
          <w:lang w:eastAsia="en-GB"/>
        </w:rPr>
        <w:t xml:space="preserve">way </w:t>
      </w:r>
      <w:r w:rsidRPr="00896338">
        <w:rPr>
          <w:rFonts w:ascii="Calibri" w:eastAsia="Times New Roman" w:hAnsi="Calibri" w:cs="Calibri"/>
          <w:sz w:val="36"/>
          <w:szCs w:val="36"/>
          <w:lang w:eastAsia="en-GB"/>
        </w:rPr>
        <w:t xml:space="preserve">to properly respond to women’s and girls’ </w:t>
      </w:r>
      <w:r w:rsidRPr="00896338">
        <w:rPr>
          <w:sz w:val="36"/>
          <w:szCs w:val="36"/>
        </w:rPr>
        <w:t xml:space="preserve">real-life experiences of VAWG, which are deeply and frequently interconnected. </w:t>
      </w:r>
    </w:p>
    <w:p w14:paraId="5AA18211" w14:textId="77777777" w:rsidR="001C2CD5" w:rsidRDefault="001C2CD5" w:rsidP="000D43F9">
      <w:pPr>
        <w:ind w:left="709" w:right="559"/>
        <w:rPr>
          <w:sz w:val="36"/>
          <w:szCs w:val="36"/>
        </w:rPr>
      </w:pPr>
    </w:p>
    <w:p w14:paraId="4F56A9DE" w14:textId="77777777" w:rsidR="001C2CD5" w:rsidRPr="008B7AA7" w:rsidRDefault="001C2CD5" w:rsidP="001C2CD5">
      <w:pPr>
        <w:pStyle w:val="ListParagraph"/>
        <w:numPr>
          <w:ilvl w:val="0"/>
          <w:numId w:val="2"/>
        </w:numPr>
        <w:ind w:left="709" w:hanging="709"/>
        <w:rPr>
          <w:b/>
          <w:bCs/>
          <w:sz w:val="36"/>
          <w:szCs w:val="36"/>
        </w:rPr>
      </w:pPr>
      <w:r w:rsidRPr="008B7AA7">
        <w:rPr>
          <w:b/>
          <w:bCs/>
          <w:sz w:val="36"/>
          <w:szCs w:val="36"/>
        </w:rPr>
        <w:t xml:space="preserve">A Strategic Investment to End Abuse </w:t>
      </w:r>
    </w:p>
    <w:p w14:paraId="4D1C3CD6" w14:textId="7D98EE8C" w:rsidR="001C2CD5" w:rsidRPr="00896338" w:rsidRDefault="001C2CD5" w:rsidP="000D43F9">
      <w:pPr>
        <w:ind w:left="709" w:right="559"/>
        <w:rPr>
          <w:rFonts w:ascii="Calibri" w:eastAsia="Times New Roman" w:hAnsi="Calibri" w:cs="Calibri"/>
          <w:sz w:val="36"/>
          <w:szCs w:val="36"/>
          <w:lang w:eastAsia="en-GB"/>
        </w:rPr>
      </w:pPr>
      <w:r w:rsidRPr="00786544">
        <w:rPr>
          <w:sz w:val="36"/>
          <w:szCs w:val="36"/>
        </w:rPr>
        <w:t>In order to deliver the life-saving work that helps thousands of women and girls every day, the VAWG sector needs long-term, sustainable funding. This includes ring-fenced funding for specialist Black and minoritised “by and for” services which are chronically under-funded.</w:t>
      </w:r>
    </w:p>
    <w:p w14:paraId="2918AE3B" w14:textId="77777777" w:rsidR="00E10E44" w:rsidRPr="008B7AA7" w:rsidRDefault="00E10E44" w:rsidP="000D43F9">
      <w:pPr>
        <w:ind w:left="709" w:right="559" w:hanging="709"/>
        <w:rPr>
          <w:sz w:val="36"/>
          <w:szCs w:val="36"/>
        </w:rPr>
      </w:pPr>
    </w:p>
    <w:p w14:paraId="33694F78" w14:textId="5406BFF4" w:rsidR="00C03BF8" w:rsidRPr="008B7AA7" w:rsidRDefault="00E10E44" w:rsidP="000D43F9">
      <w:pPr>
        <w:pStyle w:val="ListParagraph"/>
        <w:numPr>
          <w:ilvl w:val="0"/>
          <w:numId w:val="2"/>
        </w:numPr>
        <w:ind w:left="709" w:right="559" w:hanging="709"/>
        <w:rPr>
          <w:b/>
          <w:bCs/>
          <w:sz w:val="36"/>
          <w:szCs w:val="36"/>
        </w:rPr>
      </w:pPr>
      <w:r w:rsidRPr="008B7AA7">
        <w:rPr>
          <w:b/>
          <w:bCs/>
          <w:sz w:val="36"/>
          <w:szCs w:val="36"/>
        </w:rPr>
        <w:t xml:space="preserve">Far-ranging </w:t>
      </w:r>
      <w:r w:rsidR="00F62FB1" w:rsidRPr="008B7AA7">
        <w:rPr>
          <w:b/>
          <w:bCs/>
          <w:sz w:val="36"/>
          <w:szCs w:val="36"/>
        </w:rPr>
        <w:t>r</w:t>
      </w:r>
      <w:r w:rsidRPr="008B7AA7">
        <w:rPr>
          <w:b/>
          <w:bCs/>
          <w:sz w:val="36"/>
          <w:szCs w:val="36"/>
        </w:rPr>
        <w:t xml:space="preserve">eform to the </w:t>
      </w:r>
      <w:r w:rsidR="00F62FB1" w:rsidRPr="008B7AA7">
        <w:rPr>
          <w:b/>
          <w:bCs/>
          <w:sz w:val="36"/>
          <w:szCs w:val="36"/>
        </w:rPr>
        <w:t>C</w:t>
      </w:r>
      <w:r w:rsidRPr="008B7AA7">
        <w:rPr>
          <w:b/>
          <w:bCs/>
          <w:sz w:val="36"/>
          <w:szCs w:val="36"/>
        </w:rPr>
        <w:t xml:space="preserve">riminal </w:t>
      </w:r>
      <w:r w:rsidR="00F62FB1" w:rsidRPr="008B7AA7">
        <w:rPr>
          <w:b/>
          <w:bCs/>
          <w:sz w:val="36"/>
          <w:szCs w:val="36"/>
        </w:rPr>
        <w:t>J</w:t>
      </w:r>
      <w:r w:rsidRPr="008B7AA7">
        <w:rPr>
          <w:b/>
          <w:bCs/>
          <w:sz w:val="36"/>
          <w:szCs w:val="36"/>
        </w:rPr>
        <w:t xml:space="preserve">ustice </w:t>
      </w:r>
      <w:r w:rsidR="00F62FB1" w:rsidRPr="008B7AA7">
        <w:rPr>
          <w:b/>
          <w:bCs/>
          <w:sz w:val="36"/>
          <w:szCs w:val="36"/>
        </w:rPr>
        <w:t>S</w:t>
      </w:r>
      <w:r w:rsidRPr="008B7AA7">
        <w:rPr>
          <w:b/>
          <w:bCs/>
          <w:sz w:val="36"/>
          <w:szCs w:val="36"/>
        </w:rPr>
        <w:t xml:space="preserve">ystem’s </w:t>
      </w:r>
      <w:r w:rsidR="00F62FB1" w:rsidRPr="008B7AA7">
        <w:rPr>
          <w:b/>
          <w:bCs/>
          <w:sz w:val="36"/>
          <w:szCs w:val="36"/>
        </w:rPr>
        <w:t>a</w:t>
      </w:r>
      <w:r w:rsidRPr="008B7AA7">
        <w:rPr>
          <w:b/>
          <w:bCs/>
          <w:sz w:val="36"/>
          <w:szCs w:val="36"/>
        </w:rPr>
        <w:t xml:space="preserve">pproach to </w:t>
      </w:r>
      <w:r w:rsidR="00F62FB1" w:rsidRPr="008B7AA7">
        <w:rPr>
          <w:b/>
          <w:bCs/>
          <w:sz w:val="36"/>
          <w:szCs w:val="36"/>
        </w:rPr>
        <w:t>S</w:t>
      </w:r>
      <w:r w:rsidRPr="008B7AA7">
        <w:rPr>
          <w:b/>
          <w:bCs/>
          <w:sz w:val="36"/>
          <w:szCs w:val="36"/>
        </w:rPr>
        <w:t xml:space="preserve">exual </w:t>
      </w:r>
      <w:r w:rsidR="00F62FB1" w:rsidRPr="008B7AA7">
        <w:rPr>
          <w:b/>
          <w:bCs/>
          <w:sz w:val="36"/>
          <w:szCs w:val="36"/>
        </w:rPr>
        <w:t>V</w:t>
      </w:r>
      <w:r w:rsidRPr="008B7AA7">
        <w:rPr>
          <w:b/>
          <w:bCs/>
          <w:sz w:val="36"/>
          <w:szCs w:val="36"/>
        </w:rPr>
        <w:t>iolence</w:t>
      </w:r>
      <w:r w:rsidR="00881A8D" w:rsidRPr="008B7AA7">
        <w:rPr>
          <w:b/>
          <w:bCs/>
          <w:sz w:val="36"/>
          <w:szCs w:val="36"/>
        </w:rPr>
        <w:t xml:space="preserve"> </w:t>
      </w:r>
    </w:p>
    <w:p w14:paraId="770EC60F" w14:textId="1FAF586E" w:rsidR="002B1ECF" w:rsidRPr="00896338" w:rsidRDefault="00290C56" w:rsidP="000D43F9">
      <w:pPr>
        <w:ind w:left="709" w:right="559"/>
        <w:rPr>
          <w:sz w:val="36"/>
          <w:szCs w:val="36"/>
        </w:rPr>
      </w:pPr>
      <w:r w:rsidRPr="00896338">
        <w:rPr>
          <w:sz w:val="36"/>
          <w:szCs w:val="36"/>
        </w:rPr>
        <w:t>Extensive reforms to the police, CPS and courts, improved leadership and accountability, wraparound support and advocacy for all victim-survivors and ensuring access to justice for all.</w:t>
      </w:r>
      <w:r w:rsidR="002B1ECF" w:rsidRPr="00896338">
        <w:rPr>
          <w:sz w:val="36"/>
          <w:szCs w:val="36"/>
        </w:rPr>
        <w:t xml:space="preserve"> </w:t>
      </w:r>
      <w:r w:rsidRPr="00896338">
        <w:rPr>
          <w:sz w:val="36"/>
          <w:szCs w:val="36"/>
        </w:rPr>
        <w:t xml:space="preserve">This includes </w:t>
      </w:r>
      <w:r w:rsidR="002B1ECF" w:rsidRPr="00896338">
        <w:rPr>
          <w:sz w:val="36"/>
          <w:szCs w:val="36"/>
        </w:rPr>
        <w:t xml:space="preserve">research into both the barriers to reporting and what rape victim-survivors want from the </w:t>
      </w:r>
      <w:r w:rsidR="00F62FB1" w:rsidRPr="00896338">
        <w:rPr>
          <w:sz w:val="36"/>
          <w:szCs w:val="36"/>
        </w:rPr>
        <w:t>justice system.</w:t>
      </w:r>
      <w:r w:rsidR="002B1ECF" w:rsidRPr="00896338">
        <w:rPr>
          <w:sz w:val="36"/>
          <w:szCs w:val="36"/>
        </w:rPr>
        <w:t xml:space="preserve"> </w:t>
      </w:r>
      <w:r w:rsidRPr="00896338">
        <w:rPr>
          <w:sz w:val="36"/>
          <w:szCs w:val="36"/>
        </w:rPr>
        <w:t xml:space="preserve">We </w:t>
      </w:r>
      <w:r w:rsidR="00323977" w:rsidRPr="00896338">
        <w:rPr>
          <w:sz w:val="36"/>
          <w:szCs w:val="36"/>
        </w:rPr>
        <w:t xml:space="preserve">also </w:t>
      </w:r>
      <w:r w:rsidRPr="00896338">
        <w:rPr>
          <w:sz w:val="36"/>
          <w:szCs w:val="36"/>
        </w:rPr>
        <w:t>echo Imkaan’s Reclaiming Voice</w:t>
      </w:r>
      <w:r w:rsidR="00323977" w:rsidRPr="00896338">
        <w:rPr>
          <w:sz w:val="36"/>
          <w:szCs w:val="36"/>
        </w:rPr>
        <w:t xml:space="preserve"> recommendation for the</w:t>
      </w:r>
      <w:r w:rsidRPr="00896338">
        <w:rPr>
          <w:sz w:val="36"/>
          <w:szCs w:val="36"/>
        </w:rPr>
        <w:t xml:space="preserve"> Home Office National Statement of Expectations</w:t>
      </w:r>
      <w:r w:rsidR="00323977" w:rsidRPr="00896338">
        <w:rPr>
          <w:sz w:val="36"/>
          <w:szCs w:val="36"/>
        </w:rPr>
        <w:t xml:space="preserve"> to </w:t>
      </w:r>
      <w:r w:rsidRPr="00896338">
        <w:rPr>
          <w:sz w:val="36"/>
          <w:szCs w:val="36"/>
        </w:rPr>
        <w:t>set</w:t>
      </w:r>
      <w:r w:rsidR="00323977" w:rsidRPr="00896338">
        <w:rPr>
          <w:sz w:val="36"/>
          <w:szCs w:val="36"/>
        </w:rPr>
        <w:t xml:space="preserve"> </w:t>
      </w:r>
      <w:r w:rsidRPr="00896338">
        <w:rPr>
          <w:sz w:val="36"/>
          <w:szCs w:val="36"/>
        </w:rPr>
        <w:t>out that commissioners making VAWG need</w:t>
      </w:r>
      <w:r w:rsidR="00323977" w:rsidRPr="00896338">
        <w:rPr>
          <w:sz w:val="36"/>
          <w:szCs w:val="36"/>
        </w:rPr>
        <w:t xml:space="preserve"> </w:t>
      </w:r>
      <w:r w:rsidRPr="00896338">
        <w:rPr>
          <w:sz w:val="36"/>
          <w:szCs w:val="36"/>
        </w:rPr>
        <w:t xml:space="preserve">assessments should proactively set out to enquire </w:t>
      </w:r>
      <w:r w:rsidRPr="00896338">
        <w:rPr>
          <w:sz w:val="36"/>
          <w:szCs w:val="36"/>
        </w:rPr>
        <w:lastRenderedPageBreak/>
        <w:t>about</w:t>
      </w:r>
      <w:r w:rsidR="00323977" w:rsidRPr="00896338">
        <w:rPr>
          <w:sz w:val="36"/>
          <w:szCs w:val="36"/>
        </w:rPr>
        <w:t xml:space="preserve"> </w:t>
      </w:r>
      <w:r w:rsidRPr="00896338">
        <w:rPr>
          <w:sz w:val="36"/>
          <w:szCs w:val="36"/>
        </w:rPr>
        <w:t>B</w:t>
      </w:r>
      <w:r w:rsidR="00323977" w:rsidRPr="00896338">
        <w:rPr>
          <w:sz w:val="36"/>
          <w:szCs w:val="36"/>
        </w:rPr>
        <w:t xml:space="preserve">lack and minoritised </w:t>
      </w:r>
      <w:r w:rsidRPr="00896338">
        <w:rPr>
          <w:sz w:val="36"/>
          <w:szCs w:val="36"/>
        </w:rPr>
        <w:t>women and girls’ needs</w:t>
      </w:r>
      <w:r w:rsidR="00323977" w:rsidRPr="00896338">
        <w:rPr>
          <w:sz w:val="36"/>
          <w:szCs w:val="36"/>
        </w:rPr>
        <w:t xml:space="preserve"> to ensure specialist support pathways are commissioned</w:t>
      </w:r>
      <w:r w:rsidRPr="00896338">
        <w:rPr>
          <w:sz w:val="36"/>
          <w:szCs w:val="36"/>
        </w:rPr>
        <w:t>.</w:t>
      </w:r>
      <w:r w:rsidR="00323977" w:rsidRPr="008B7AA7">
        <w:rPr>
          <w:rStyle w:val="FootnoteReference"/>
          <w:sz w:val="36"/>
          <w:szCs w:val="36"/>
        </w:rPr>
        <w:footnoteReference w:id="65"/>
      </w:r>
    </w:p>
    <w:p w14:paraId="182A6F5B" w14:textId="77777777" w:rsidR="002B1ECF" w:rsidRPr="008B7AA7" w:rsidRDefault="002B1ECF" w:rsidP="000D43F9">
      <w:pPr>
        <w:ind w:left="709" w:right="559" w:hanging="709"/>
        <w:rPr>
          <w:sz w:val="36"/>
          <w:szCs w:val="36"/>
        </w:rPr>
      </w:pPr>
    </w:p>
    <w:p w14:paraId="05016685" w14:textId="10EFE83F" w:rsidR="00C03BF8" w:rsidRPr="008B7AA7" w:rsidRDefault="002B1ECF" w:rsidP="000D43F9">
      <w:pPr>
        <w:pStyle w:val="ListParagraph"/>
        <w:numPr>
          <w:ilvl w:val="0"/>
          <w:numId w:val="2"/>
        </w:numPr>
        <w:ind w:left="709" w:right="559" w:hanging="709"/>
        <w:rPr>
          <w:b/>
          <w:bCs/>
          <w:sz w:val="36"/>
          <w:szCs w:val="36"/>
        </w:rPr>
      </w:pPr>
      <w:r w:rsidRPr="008B7AA7">
        <w:rPr>
          <w:b/>
          <w:bCs/>
          <w:sz w:val="36"/>
          <w:szCs w:val="36"/>
        </w:rPr>
        <w:t xml:space="preserve">Effective Protection and Support </w:t>
      </w:r>
      <w:r w:rsidR="00CB7043" w:rsidRPr="008B7AA7">
        <w:rPr>
          <w:b/>
          <w:bCs/>
          <w:sz w:val="36"/>
          <w:szCs w:val="36"/>
        </w:rPr>
        <w:t>for migrant women</w:t>
      </w:r>
    </w:p>
    <w:p w14:paraId="4E2D8EC6" w14:textId="5EAD7235" w:rsidR="002B1ECF" w:rsidRPr="00896338" w:rsidRDefault="002B1ECF" w:rsidP="000D43F9">
      <w:pPr>
        <w:ind w:left="709" w:right="559"/>
        <w:rPr>
          <w:sz w:val="36"/>
          <w:szCs w:val="36"/>
        </w:rPr>
      </w:pPr>
      <w:r w:rsidRPr="00896338">
        <w:rPr>
          <w:sz w:val="36"/>
          <w:szCs w:val="36"/>
        </w:rPr>
        <w:t>A Domestic Abuse Bill that address</w:t>
      </w:r>
      <w:r w:rsidR="00CB7043" w:rsidRPr="00896338">
        <w:rPr>
          <w:sz w:val="36"/>
          <w:szCs w:val="36"/>
        </w:rPr>
        <w:t>es</w:t>
      </w:r>
      <w:r w:rsidRPr="00896338">
        <w:rPr>
          <w:sz w:val="36"/>
          <w:szCs w:val="36"/>
        </w:rPr>
        <w:t xml:space="preserve"> the barriers to support currently facing migrant women. This would include a non-discrimination principle, in line with </w:t>
      </w:r>
      <w:r w:rsidR="00A9759D" w:rsidRPr="00896338">
        <w:rPr>
          <w:sz w:val="36"/>
          <w:szCs w:val="36"/>
        </w:rPr>
        <w:t>the Istanbul Convention, safe reporting mechanisms for migrant victim-survivors to report abuse without fear of their information being shared with immigration enforcement, and the extension the eligibility of the Domestic Violence Rule (DVR) and Destitute Domestic Violence Concession (DDVC) to all migrant women experiencing or at risk of abuse for a</w:t>
      </w:r>
      <w:r w:rsidR="00CB7043" w:rsidRPr="00896338">
        <w:rPr>
          <w:sz w:val="36"/>
          <w:szCs w:val="36"/>
        </w:rPr>
        <w:t xml:space="preserve"> minimum of </w:t>
      </w:r>
      <w:r w:rsidR="00A9759D" w:rsidRPr="00896338">
        <w:rPr>
          <w:sz w:val="36"/>
          <w:szCs w:val="36"/>
        </w:rPr>
        <w:t>six months.</w:t>
      </w:r>
    </w:p>
    <w:p w14:paraId="3FDB6F2A" w14:textId="77777777" w:rsidR="00A9759D" w:rsidRPr="008B7AA7" w:rsidRDefault="00A9759D" w:rsidP="000D43F9">
      <w:pPr>
        <w:ind w:left="709" w:right="559" w:hanging="709"/>
        <w:rPr>
          <w:sz w:val="36"/>
          <w:szCs w:val="36"/>
        </w:rPr>
      </w:pPr>
    </w:p>
    <w:p w14:paraId="0AE1A371" w14:textId="0EB1380B" w:rsidR="00F62FB1" w:rsidRPr="008B7AA7" w:rsidRDefault="00F62FB1" w:rsidP="000D43F9">
      <w:pPr>
        <w:pStyle w:val="ListParagraph"/>
        <w:numPr>
          <w:ilvl w:val="0"/>
          <w:numId w:val="2"/>
        </w:numPr>
        <w:ind w:left="709" w:right="559" w:hanging="709"/>
        <w:rPr>
          <w:rFonts w:ascii="Calibri" w:eastAsia="Times New Roman" w:hAnsi="Calibri" w:cs="Calibri"/>
          <w:b/>
          <w:bCs/>
          <w:sz w:val="36"/>
          <w:szCs w:val="36"/>
          <w:lang w:eastAsia="en-GB"/>
        </w:rPr>
      </w:pPr>
      <w:r w:rsidRPr="008B7AA7">
        <w:rPr>
          <w:rFonts w:ascii="Calibri" w:eastAsia="Times New Roman" w:hAnsi="Calibri" w:cs="Calibri"/>
          <w:b/>
          <w:bCs/>
          <w:sz w:val="36"/>
          <w:szCs w:val="36"/>
          <w:lang w:eastAsia="en-GB"/>
        </w:rPr>
        <w:t>A comprehensive public health approach to tackling Online Abuse</w:t>
      </w:r>
    </w:p>
    <w:p w14:paraId="3002839E" w14:textId="78D68E5D" w:rsidR="00F62FB1" w:rsidRPr="00896338" w:rsidRDefault="00F62FB1" w:rsidP="000D43F9">
      <w:pPr>
        <w:ind w:left="709" w:right="559"/>
        <w:rPr>
          <w:rFonts w:ascii="Calibri" w:eastAsia="Times New Roman" w:hAnsi="Calibri" w:cs="Calibri"/>
          <w:sz w:val="36"/>
          <w:szCs w:val="36"/>
          <w:lang w:eastAsia="en-GB"/>
        </w:rPr>
      </w:pPr>
      <w:r w:rsidRPr="00896338">
        <w:rPr>
          <w:rFonts w:ascii="Calibri" w:eastAsia="Times New Roman" w:hAnsi="Calibri" w:cs="Calibri"/>
          <w:sz w:val="36"/>
          <w:szCs w:val="36"/>
          <w:lang w:eastAsia="en-GB"/>
        </w:rPr>
        <w:t xml:space="preserve">The Government needs to implement a comprehensive public health approach to tackling online abuse, including providing clear recommendations to employers on how to </w:t>
      </w:r>
      <w:r w:rsidR="00442762" w:rsidRPr="00896338">
        <w:rPr>
          <w:rFonts w:ascii="Calibri" w:eastAsia="Times New Roman" w:hAnsi="Calibri" w:cs="Calibri"/>
          <w:sz w:val="36"/>
          <w:szCs w:val="36"/>
          <w:lang w:eastAsia="en-GB"/>
        </w:rPr>
        <w:t xml:space="preserve">help ensure </w:t>
      </w:r>
      <w:r w:rsidRPr="00896338">
        <w:rPr>
          <w:rFonts w:ascii="Calibri" w:eastAsia="Times New Roman" w:hAnsi="Calibri" w:cs="Calibri"/>
          <w:sz w:val="36"/>
          <w:szCs w:val="36"/>
          <w:lang w:eastAsia="en-GB"/>
        </w:rPr>
        <w:t xml:space="preserve">their employees </w:t>
      </w:r>
      <w:r w:rsidR="00442762" w:rsidRPr="00896338">
        <w:rPr>
          <w:rFonts w:ascii="Calibri" w:eastAsia="Times New Roman" w:hAnsi="Calibri" w:cs="Calibri"/>
          <w:sz w:val="36"/>
          <w:szCs w:val="36"/>
          <w:lang w:eastAsia="en-GB"/>
        </w:rPr>
        <w:t xml:space="preserve">are </w:t>
      </w:r>
      <w:r w:rsidRPr="00896338">
        <w:rPr>
          <w:rFonts w:ascii="Calibri" w:eastAsia="Times New Roman" w:hAnsi="Calibri" w:cs="Calibri"/>
          <w:sz w:val="36"/>
          <w:szCs w:val="36"/>
          <w:lang w:eastAsia="en-GB"/>
        </w:rPr>
        <w:t xml:space="preserve">safe online, and publishing national guidance on digital safety. This includes commissioning research into </w:t>
      </w:r>
      <w:r w:rsidRPr="00896338">
        <w:rPr>
          <w:sz w:val="36"/>
          <w:szCs w:val="36"/>
        </w:rPr>
        <w:t xml:space="preserve">impact of online abuse on women and Black and minoritised communities and intersectional online abuse and ensuring the Online Harms Bill </w:t>
      </w:r>
      <w:r w:rsidR="00442762" w:rsidRPr="00896338">
        <w:rPr>
          <w:sz w:val="36"/>
          <w:szCs w:val="36"/>
        </w:rPr>
        <w:t xml:space="preserve">adequately addresses the specific risks that </w:t>
      </w:r>
      <w:r w:rsidRPr="00896338">
        <w:rPr>
          <w:sz w:val="36"/>
          <w:szCs w:val="36"/>
        </w:rPr>
        <w:t>Black and minoritised women</w:t>
      </w:r>
      <w:r w:rsidR="00D61CF5" w:rsidRPr="00896338">
        <w:rPr>
          <w:sz w:val="36"/>
          <w:szCs w:val="36"/>
        </w:rPr>
        <w:t xml:space="preserve"> face online</w:t>
      </w:r>
      <w:r w:rsidRPr="00896338">
        <w:rPr>
          <w:sz w:val="36"/>
          <w:szCs w:val="36"/>
        </w:rPr>
        <w:t>.</w:t>
      </w:r>
    </w:p>
    <w:p w14:paraId="7F083B36" w14:textId="77777777" w:rsidR="00F62FB1" w:rsidRPr="008B7AA7" w:rsidRDefault="00F62FB1" w:rsidP="000D43F9">
      <w:pPr>
        <w:ind w:left="709" w:right="559" w:hanging="709"/>
        <w:rPr>
          <w:rFonts w:ascii="Calibri" w:eastAsia="Times New Roman" w:hAnsi="Calibri" w:cs="Calibri"/>
          <w:b/>
          <w:bCs/>
          <w:sz w:val="36"/>
          <w:szCs w:val="36"/>
          <w:lang w:eastAsia="en-GB"/>
        </w:rPr>
      </w:pPr>
    </w:p>
    <w:p w14:paraId="7249C133" w14:textId="5EEA2BFD" w:rsidR="00C03BF8" w:rsidRPr="008B7AA7" w:rsidRDefault="00F62FB1" w:rsidP="000D43F9">
      <w:pPr>
        <w:pStyle w:val="ListParagraph"/>
        <w:numPr>
          <w:ilvl w:val="0"/>
          <w:numId w:val="2"/>
        </w:numPr>
        <w:ind w:left="709" w:right="559" w:hanging="709"/>
        <w:rPr>
          <w:b/>
          <w:bCs/>
          <w:sz w:val="36"/>
          <w:szCs w:val="36"/>
        </w:rPr>
      </w:pPr>
      <w:r w:rsidRPr="008B7AA7">
        <w:rPr>
          <w:b/>
          <w:bCs/>
          <w:sz w:val="36"/>
          <w:szCs w:val="36"/>
        </w:rPr>
        <w:lastRenderedPageBreak/>
        <w:t xml:space="preserve">Support for schools to implement </w:t>
      </w:r>
      <w:r w:rsidR="00C03BF8" w:rsidRPr="008B7AA7">
        <w:rPr>
          <w:b/>
          <w:bCs/>
          <w:sz w:val="36"/>
          <w:szCs w:val="36"/>
        </w:rPr>
        <w:t xml:space="preserve">RSE </w:t>
      </w:r>
      <w:r w:rsidRPr="008B7AA7">
        <w:rPr>
          <w:b/>
          <w:bCs/>
          <w:sz w:val="36"/>
          <w:szCs w:val="36"/>
        </w:rPr>
        <w:t>and “Whole School Approach”</w:t>
      </w:r>
    </w:p>
    <w:p w14:paraId="34B8A716" w14:textId="2B387A1E" w:rsidR="00F62FB1" w:rsidRPr="00896338" w:rsidRDefault="00F62FB1" w:rsidP="000D43F9">
      <w:pPr>
        <w:ind w:left="709" w:right="559"/>
        <w:rPr>
          <w:sz w:val="36"/>
          <w:szCs w:val="36"/>
        </w:rPr>
      </w:pPr>
      <w:r w:rsidRPr="00896338">
        <w:rPr>
          <w:sz w:val="36"/>
          <w:szCs w:val="36"/>
        </w:rPr>
        <w:t>The Department for Education</w:t>
      </w:r>
      <w:r w:rsidR="008170EC" w:rsidRPr="00896338">
        <w:rPr>
          <w:sz w:val="36"/>
          <w:szCs w:val="36"/>
        </w:rPr>
        <w:t xml:space="preserve"> (DfE) </w:t>
      </w:r>
      <w:r w:rsidRPr="00896338">
        <w:rPr>
          <w:sz w:val="36"/>
          <w:szCs w:val="36"/>
        </w:rPr>
        <w:t xml:space="preserve">needs to support schools </w:t>
      </w:r>
      <w:r w:rsidR="008170EC" w:rsidRPr="00896338">
        <w:rPr>
          <w:sz w:val="36"/>
          <w:szCs w:val="36"/>
        </w:rPr>
        <w:t xml:space="preserve">so that there is </w:t>
      </w:r>
      <w:r w:rsidRPr="00896338">
        <w:rPr>
          <w:sz w:val="36"/>
          <w:szCs w:val="36"/>
        </w:rPr>
        <w:t xml:space="preserve">no further delay to the compulsory rollout of RSE. </w:t>
      </w:r>
      <w:r w:rsidR="008170EC" w:rsidRPr="00896338">
        <w:rPr>
          <w:sz w:val="36"/>
          <w:szCs w:val="36"/>
        </w:rPr>
        <w:t>Additionally, the DfE should commit to resourcing a ‘Whole School Approach’ which incorporates a prioritisation of tackling abuse; teacher training; making links with local, specialist abuse organisations; and peer working.</w:t>
      </w:r>
    </w:p>
    <w:p w14:paraId="7F5AF15B" w14:textId="77777777" w:rsidR="008170EC" w:rsidRPr="008B7AA7" w:rsidRDefault="008170EC" w:rsidP="00786544">
      <w:pPr>
        <w:ind w:left="709" w:hanging="709"/>
        <w:rPr>
          <w:b/>
          <w:bCs/>
          <w:sz w:val="36"/>
          <w:szCs w:val="36"/>
        </w:rPr>
      </w:pPr>
    </w:p>
    <w:p w14:paraId="3D6A264A" w14:textId="5688ECE1" w:rsidR="00C03BF8" w:rsidRPr="008B7AA7" w:rsidRDefault="008170EC" w:rsidP="00786544">
      <w:pPr>
        <w:pStyle w:val="ListParagraph"/>
        <w:numPr>
          <w:ilvl w:val="0"/>
          <w:numId w:val="2"/>
        </w:numPr>
        <w:ind w:left="709" w:hanging="709"/>
        <w:rPr>
          <w:b/>
          <w:bCs/>
          <w:sz w:val="36"/>
          <w:szCs w:val="36"/>
        </w:rPr>
      </w:pPr>
      <w:r w:rsidRPr="008B7AA7">
        <w:rPr>
          <w:b/>
          <w:bCs/>
          <w:sz w:val="36"/>
          <w:szCs w:val="36"/>
        </w:rPr>
        <w:t xml:space="preserve">A Perpetrators Strategy for all </w:t>
      </w:r>
    </w:p>
    <w:p w14:paraId="7F514330" w14:textId="2DE7875E" w:rsidR="008170EC" w:rsidRPr="00786544" w:rsidRDefault="008170EC" w:rsidP="00786544">
      <w:pPr>
        <w:ind w:left="709"/>
        <w:rPr>
          <w:sz w:val="36"/>
          <w:szCs w:val="36"/>
        </w:rPr>
      </w:pPr>
      <w:r w:rsidRPr="00786544">
        <w:rPr>
          <w:sz w:val="36"/>
          <w:szCs w:val="36"/>
        </w:rPr>
        <w:t>A national strategy on perpetrators that properly resource</w:t>
      </w:r>
      <w:r w:rsidR="000E45BF" w:rsidRPr="00786544">
        <w:rPr>
          <w:sz w:val="36"/>
          <w:szCs w:val="36"/>
        </w:rPr>
        <w:t>s</w:t>
      </w:r>
      <w:r w:rsidRPr="00786544">
        <w:rPr>
          <w:sz w:val="36"/>
          <w:szCs w:val="36"/>
        </w:rPr>
        <w:t xml:space="preserve"> interventions</w:t>
      </w:r>
      <w:r w:rsidR="000E45BF" w:rsidRPr="00786544">
        <w:rPr>
          <w:sz w:val="36"/>
          <w:szCs w:val="36"/>
        </w:rPr>
        <w:t>;</w:t>
      </w:r>
      <w:r w:rsidRPr="00786544">
        <w:rPr>
          <w:sz w:val="36"/>
          <w:szCs w:val="36"/>
        </w:rPr>
        <w:t xml:space="preserve"> national quality assurance systems</w:t>
      </w:r>
      <w:r w:rsidR="000E45BF" w:rsidRPr="00786544">
        <w:rPr>
          <w:sz w:val="36"/>
          <w:szCs w:val="36"/>
        </w:rPr>
        <w:t>;</w:t>
      </w:r>
      <w:r w:rsidRPr="00786544">
        <w:rPr>
          <w:sz w:val="36"/>
          <w:szCs w:val="36"/>
        </w:rPr>
        <w:t xml:space="preserve"> and leadership on addressing abuse behaviour at all levels of Government. This would include specific interventions for Black and minoritised individuals perpetrating harmful behaviour.</w:t>
      </w:r>
    </w:p>
    <w:p w14:paraId="37A8EBE8" w14:textId="77777777" w:rsidR="008B7AA7" w:rsidRPr="008B7AA7" w:rsidRDefault="008B7AA7">
      <w:pPr>
        <w:rPr>
          <w:sz w:val="36"/>
          <w:szCs w:val="36"/>
        </w:rPr>
      </w:pPr>
    </w:p>
    <w:sectPr w:rsidR="008B7AA7" w:rsidRPr="008B7AA7" w:rsidSect="000D43F9">
      <w:footerReference w:type="even" r:id="rId8"/>
      <w:footerReference w:type="default" r:id="rId9"/>
      <w:pgSz w:w="11900" w:h="16840"/>
      <w:pgMar w:top="1090" w:right="1106" w:bottom="822"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6E655" w14:textId="77777777" w:rsidR="000F677F" w:rsidRDefault="000F677F" w:rsidP="008E530E">
      <w:r>
        <w:separator/>
      </w:r>
    </w:p>
  </w:endnote>
  <w:endnote w:type="continuationSeparator" w:id="0">
    <w:p w14:paraId="006461B4" w14:textId="77777777" w:rsidR="000F677F" w:rsidRDefault="000F677F" w:rsidP="008E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35810391"/>
      <w:docPartObj>
        <w:docPartGallery w:val="Page Numbers (Bottom of Page)"/>
        <w:docPartUnique/>
      </w:docPartObj>
    </w:sdtPr>
    <w:sdtEndPr>
      <w:rPr>
        <w:rStyle w:val="PageNumber"/>
      </w:rPr>
    </w:sdtEndPr>
    <w:sdtContent>
      <w:p w14:paraId="508E8BA8" w14:textId="4F63D0F2" w:rsidR="00FA36A9" w:rsidRDefault="00FA36A9" w:rsidP="00C03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44200F" w14:textId="77777777" w:rsidR="00FA36A9" w:rsidRDefault="00FA36A9" w:rsidP="00D35D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04450872"/>
      <w:docPartObj>
        <w:docPartGallery w:val="Page Numbers (Bottom of Page)"/>
        <w:docPartUnique/>
      </w:docPartObj>
    </w:sdtPr>
    <w:sdtEndPr>
      <w:rPr>
        <w:rStyle w:val="PageNumber"/>
        <w:sz w:val="32"/>
        <w:szCs w:val="32"/>
      </w:rPr>
    </w:sdtEndPr>
    <w:sdtContent>
      <w:p w14:paraId="3C3DE637" w14:textId="54BAB0E2" w:rsidR="00FA36A9" w:rsidRPr="005F4712" w:rsidRDefault="00FA36A9" w:rsidP="00C03BF8">
        <w:pPr>
          <w:pStyle w:val="Footer"/>
          <w:framePr w:wrap="none" w:vAnchor="text" w:hAnchor="margin" w:xAlign="right" w:y="1"/>
          <w:rPr>
            <w:rStyle w:val="PageNumber"/>
            <w:sz w:val="32"/>
            <w:szCs w:val="32"/>
          </w:rPr>
        </w:pPr>
        <w:r w:rsidRPr="005F4712">
          <w:rPr>
            <w:rStyle w:val="PageNumber"/>
            <w:sz w:val="32"/>
            <w:szCs w:val="32"/>
          </w:rPr>
          <w:fldChar w:fldCharType="begin"/>
        </w:r>
        <w:r w:rsidRPr="005F4712">
          <w:rPr>
            <w:rStyle w:val="PageNumber"/>
            <w:sz w:val="32"/>
            <w:szCs w:val="32"/>
          </w:rPr>
          <w:instrText xml:space="preserve"> PAGE </w:instrText>
        </w:r>
        <w:r w:rsidRPr="005F4712">
          <w:rPr>
            <w:rStyle w:val="PageNumber"/>
            <w:sz w:val="32"/>
            <w:szCs w:val="32"/>
          </w:rPr>
          <w:fldChar w:fldCharType="separate"/>
        </w:r>
        <w:r w:rsidR="006C7157">
          <w:rPr>
            <w:rStyle w:val="PageNumber"/>
            <w:noProof/>
            <w:sz w:val="32"/>
            <w:szCs w:val="32"/>
          </w:rPr>
          <w:t>1</w:t>
        </w:r>
        <w:r w:rsidRPr="005F4712">
          <w:rPr>
            <w:rStyle w:val="PageNumber"/>
            <w:sz w:val="32"/>
            <w:szCs w:val="32"/>
          </w:rPr>
          <w:fldChar w:fldCharType="end"/>
        </w:r>
      </w:p>
    </w:sdtContent>
  </w:sdt>
  <w:p w14:paraId="6805A954" w14:textId="77777777" w:rsidR="00FA36A9" w:rsidRDefault="00FA36A9" w:rsidP="00D35D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E434" w14:textId="77777777" w:rsidR="000F677F" w:rsidRDefault="000F677F" w:rsidP="008E530E">
      <w:r>
        <w:separator/>
      </w:r>
    </w:p>
  </w:footnote>
  <w:footnote w:type="continuationSeparator" w:id="0">
    <w:p w14:paraId="78E69E29" w14:textId="77777777" w:rsidR="000F677F" w:rsidRDefault="000F677F" w:rsidP="008E530E">
      <w:r>
        <w:continuationSeparator/>
      </w:r>
    </w:p>
  </w:footnote>
  <w:footnote w:id="1">
    <w:p w14:paraId="60E421F6" w14:textId="77777777" w:rsidR="00FA36A9" w:rsidRPr="005F4712" w:rsidRDefault="00FA36A9" w:rsidP="00C16C1A">
      <w:pPr>
        <w:pStyle w:val="FootnoteText"/>
        <w:rPr>
          <w:sz w:val="32"/>
          <w:szCs w:val="32"/>
        </w:rPr>
      </w:pPr>
      <w:r w:rsidRPr="005F4712">
        <w:rPr>
          <w:rStyle w:val="FootnoteReference"/>
          <w:sz w:val="32"/>
          <w:szCs w:val="32"/>
        </w:rPr>
        <w:footnoteRef/>
      </w:r>
      <w:r w:rsidRPr="005F4712">
        <w:rPr>
          <w:sz w:val="32"/>
          <w:szCs w:val="32"/>
        </w:rPr>
        <w:t xml:space="preserve"> ONS </w:t>
      </w:r>
      <w:r w:rsidRPr="005F4712">
        <w:rPr>
          <w:i/>
          <w:iCs/>
          <w:sz w:val="32"/>
          <w:szCs w:val="32"/>
        </w:rPr>
        <w:t xml:space="preserve">(2019) </w:t>
      </w:r>
      <w:r w:rsidRPr="005F4712">
        <w:rPr>
          <w:sz w:val="32"/>
          <w:szCs w:val="32"/>
        </w:rPr>
        <w:t>Domestic abuse in England and Wales overview: November 2019</w:t>
      </w:r>
    </w:p>
    <w:p w14:paraId="2320F94A" w14:textId="6D9E297F" w:rsidR="00FA36A9" w:rsidRPr="005F4712" w:rsidRDefault="000F677F">
      <w:pPr>
        <w:pStyle w:val="FootnoteText"/>
        <w:rPr>
          <w:sz w:val="32"/>
          <w:szCs w:val="32"/>
        </w:rPr>
      </w:pPr>
      <w:hyperlink r:id="rId1" w:history="1">
        <w:r w:rsidR="00CB1ACF" w:rsidRPr="005F4712">
          <w:rPr>
            <w:rStyle w:val="Hyperlink"/>
            <w:sz w:val="32"/>
            <w:szCs w:val="32"/>
          </w:rPr>
          <w:t>https://www.ons.gov.uk/peoplepopulationandcommunity/crimeandjustice/bulletins/domesticabuseinenglandandwalesoverview/november2019</w:t>
        </w:r>
      </w:hyperlink>
      <w:r w:rsidR="00CB1ACF" w:rsidRPr="005F4712">
        <w:rPr>
          <w:sz w:val="32"/>
          <w:szCs w:val="32"/>
        </w:rPr>
        <w:t xml:space="preserve"> </w:t>
      </w:r>
    </w:p>
  </w:footnote>
  <w:footnote w:id="2">
    <w:p w14:paraId="3ACD0355" w14:textId="6591ADC0" w:rsidR="00FA36A9" w:rsidRPr="005F4712" w:rsidRDefault="00FA36A9" w:rsidP="00C16C1A">
      <w:pPr>
        <w:pStyle w:val="FootnoteText"/>
        <w:rPr>
          <w:sz w:val="32"/>
          <w:szCs w:val="32"/>
        </w:rPr>
      </w:pPr>
      <w:r w:rsidRPr="005F4712">
        <w:rPr>
          <w:rStyle w:val="FootnoteReference"/>
          <w:sz w:val="32"/>
          <w:szCs w:val="32"/>
        </w:rPr>
        <w:footnoteRef/>
      </w:r>
      <w:r w:rsidRPr="005F4712">
        <w:rPr>
          <w:sz w:val="32"/>
          <w:szCs w:val="32"/>
        </w:rPr>
        <w:t xml:space="preserve"> ONS (</w:t>
      </w:r>
      <w:r w:rsidRPr="005F4712">
        <w:rPr>
          <w:i/>
          <w:iCs/>
          <w:sz w:val="32"/>
          <w:szCs w:val="32"/>
        </w:rPr>
        <w:t xml:space="preserve">2019) </w:t>
      </w:r>
      <w:r w:rsidRPr="005F4712">
        <w:rPr>
          <w:sz w:val="32"/>
          <w:szCs w:val="32"/>
        </w:rPr>
        <w:t>Homicide in England and Wales: year ending March 2018</w:t>
      </w:r>
      <w:r w:rsidRPr="005F4712">
        <w:rPr>
          <w:i/>
          <w:iCs/>
          <w:sz w:val="32"/>
          <w:szCs w:val="32"/>
        </w:rPr>
        <w:t xml:space="preserve"> </w:t>
      </w:r>
    </w:p>
    <w:p w14:paraId="1DA7D11E" w14:textId="1D0B4F2C" w:rsidR="00FA36A9" w:rsidRPr="005F4712" w:rsidRDefault="000F677F">
      <w:pPr>
        <w:pStyle w:val="FootnoteText"/>
        <w:rPr>
          <w:sz w:val="32"/>
          <w:szCs w:val="32"/>
        </w:rPr>
      </w:pPr>
      <w:hyperlink r:id="rId2" w:anchor="how-are-victims-and-suspects-related" w:history="1">
        <w:r w:rsidR="00CB1ACF" w:rsidRPr="005F4712">
          <w:rPr>
            <w:rStyle w:val="Hyperlink"/>
            <w:sz w:val="32"/>
            <w:szCs w:val="32"/>
          </w:rPr>
          <w:t>https://www.ons.gov.uk/peoplepopulationandcommunity/crimeandjustice/articles/homicideinenglandandwales/yearendingmarch2018#how-are-victims-and-suspects-related</w:t>
        </w:r>
      </w:hyperlink>
      <w:r w:rsidR="00CB1ACF" w:rsidRPr="005F4712">
        <w:rPr>
          <w:sz w:val="32"/>
          <w:szCs w:val="32"/>
        </w:rPr>
        <w:t xml:space="preserve"> </w:t>
      </w:r>
    </w:p>
  </w:footnote>
  <w:footnote w:id="3">
    <w:p w14:paraId="32D0F297" w14:textId="08B6C597" w:rsidR="00FA36A9" w:rsidRPr="005F4712" w:rsidRDefault="00FA36A9">
      <w:pPr>
        <w:pStyle w:val="FootnoteText"/>
        <w:rPr>
          <w:sz w:val="32"/>
          <w:szCs w:val="32"/>
        </w:rPr>
      </w:pPr>
      <w:r w:rsidRPr="005F4712">
        <w:rPr>
          <w:rStyle w:val="FootnoteReference"/>
          <w:sz w:val="32"/>
          <w:szCs w:val="32"/>
        </w:rPr>
        <w:footnoteRef/>
      </w:r>
      <w:r w:rsidRPr="005F4712">
        <w:rPr>
          <w:sz w:val="32"/>
          <w:szCs w:val="32"/>
        </w:rPr>
        <w:t xml:space="preserve"> ONS (8 February 2018) Sexual offences in England and Wales: year ending March 2017 </w:t>
      </w:r>
      <w:hyperlink r:id="rId3" w:history="1">
        <w:r w:rsidR="00CB1ACF" w:rsidRPr="005F4712">
          <w:rPr>
            <w:rStyle w:val="Hyperlink"/>
            <w:sz w:val="32"/>
            <w:szCs w:val="32"/>
          </w:rPr>
          <w:t>https://www.ons.gov.uk/peoplepopulationandcommunity/crimeandjustice/articles/sexualoffencesinenglandandwales/yearendingmarch2017</w:t>
        </w:r>
      </w:hyperlink>
      <w:r w:rsidR="00CB1ACF" w:rsidRPr="005F4712">
        <w:rPr>
          <w:sz w:val="32"/>
          <w:szCs w:val="32"/>
        </w:rPr>
        <w:t xml:space="preserve"> </w:t>
      </w:r>
    </w:p>
  </w:footnote>
  <w:footnote w:id="4">
    <w:p w14:paraId="1A9CB100" w14:textId="4F58269B" w:rsidR="00FA36A9" w:rsidRPr="005F4712" w:rsidRDefault="00FA36A9" w:rsidP="00D027AF">
      <w:pPr>
        <w:pStyle w:val="FootnoteText"/>
        <w:rPr>
          <w:sz w:val="32"/>
          <w:szCs w:val="32"/>
        </w:rPr>
      </w:pPr>
      <w:r w:rsidRPr="005F4712">
        <w:rPr>
          <w:rStyle w:val="FootnoteReference"/>
          <w:sz w:val="32"/>
          <w:szCs w:val="32"/>
        </w:rPr>
        <w:footnoteRef/>
      </w:r>
      <w:r w:rsidRPr="005F4712">
        <w:rPr>
          <w:sz w:val="32"/>
          <w:szCs w:val="32"/>
        </w:rPr>
        <w:t xml:space="preserve"> City of London and Equality Now (2014) Female Genital Mutilation in England and Wales: Updated statistical estimates of the numbers of affected women living in England and Wales and girls at risk</w:t>
      </w:r>
      <w:r w:rsidRPr="005F4712">
        <w:rPr>
          <w:i/>
          <w:iCs/>
          <w:sz w:val="32"/>
          <w:szCs w:val="32"/>
        </w:rPr>
        <w:t xml:space="preserve"> </w:t>
      </w:r>
      <w:hyperlink r:id="rId4" w:history="1">
        <w:r w:rsidR="00CB1ACF" w:rsidRPr="005F4712">
          <w:rPr>
            <w:rStyle w:val="Hyperlink"/>
            <w:sz w:val="32"/>
            <w:szCs w:val="32"/>
          </w:rPr>
          <w:t>https://www.city.ac.uk/news/2014/jul/new-report-shows-137,000-women-and-girls-with-fgm-in-england-and-wales</w:t>
        </w:r>
      </w:hyperlink>
      <w:r w:rsidR="00CB1ACF" w:rsidRPr="005F4712">
        <w:rPr>
          <w:sz w:val="32"/>
          <w:szCs w:val="32"/>
        </w:rPr>
        <w:t xml:space="preserve"> </w:t>
      </w:r>
    </w:p>
  </w:footnote>
  <w:footnote w:id="5">
    <w:p w14:paraId="02C123EF" w14:textId="610A7045" w:rsidR="00FA36A9" w:rsidRPr="005F4712" w:rsidRDefault="00FA36A9">
      <w:pPr>
        <w:pStyle w:val="FootnoteText"/>
        <w:rPr>
          <w:sz w:val="32"/>
          <w:szCs w:val="32"/>
        </w:rPr>
      </w:pPr>
      <w:r w:rsidRPr="005F4712">
        <w:rPr>
          <w:rStyle w:val="FootnoteReference"/>
          <w:sz w:val="32"/>
          <w:szCs w:val="32"/>
        </w:rPr>
        <w:footnoteRef/>
      </w:r>
      <w:r w:rsidRPr="005F4712">
        <w:rPr>
          <w:sz w:val="32"/>
          <w:szCs w:val="32"/>
        </w:rPr>
        <w:t xml:space="preserve"> EVAW (2010) YouGov Poll Exposes High Levels Sexual Harassment in Schools </w:t>
      </w:r>
      <w:hyperlink r:id="rId5" w:history="1">
        <w:r w:rsidR="00CB1ACF" w:rsidRPr="005F4712">
          <w:rPr>
            <w:rStyle w:val="Hyperlink"/>
            <w:sz w:val="32"/>
            <w:szCs w:val="32"/>
          </w:rPr>
          <w:t>https://www.endviolenceagainstwomen.org.uk/yougov-poll-exposes-high-levels-sexual-harassment-in-schools/</w:t>
        </w:r>
      </w:hyperlink>
      <w:r w:rsidR="00CB1ACF" w:rsidRPr="005F4712">
        <w:rPr>
          <w:sz w:val="32"/>
          <w:szCs w:val="32"/>
        </w:rPr>
        <w:t xml:space="preserve"> </w:t>
      </w:r>
    </w:p>
  </w:footnote>
  <w:footnote w:id="6">
    <w:p w14:paraId="74742030" w14:textId="4192AE92" w:rsidR="00FA36A9" w:rsidRPr="005F4712" w:rsidRDefault="00FA36A9">
      <w:pPr>
        <w:pStyle w:val="FootnoteText"/>
        <w:rPr>
          <w:sz w:val="32"/>
          <w:szCs w:val="32"/>
        </w:rPr>
      </w:pPr>
      <w:r w:rsidRPr="005F4712">
        <w:rPr>
          <w:rStyle w:val="FootnoteReference"/>
          <w:sz w:val="32"/>
          <w:szCs w:val="32"/>
        </w:rPr>
        <w:footnoteRef/>
      </w:r>
      <w:r w:rsidRPr="005F4712">
        <w:rPr>
          <w:sz w:val="32"/>
          <w:szCs w:val="32"/>
        </w:rPr>
        <w:t xml:space="preserve"> See Anti-Racism Working Group (2020) Call for action to end racism in the VAWG Sector </w:t>
      </w:r>
      <w:hyperlink r:id="rId6" w:history="1">
        <w:r w:rsidRPr="005F4712">
          <w:rPr>
            <w:rStyle w:val="Hyperlink"/>
            <w:sz w:val="32"/>
            <w:szCs w:val="32"/>
          </w:rPr>
          <w:t>https://www.endingracisminvawg.org/</w:t>
        </w:r>
      </w:hyperlink>
      <w:r w:rsidRPr="005F4712">
        <w:rPr>
          <w:sz w:val="32"/>
          <w:szCs w:val="32"/>
        </w:rPr>
        <w:t xml:space="preserve"> </w:t>
      </w:r>
    </w:p>
  </w:footnote>
  <w:footnote w:id="7">
    <w:p w14:paraId="057112DA" w14:textId="7C22274F" w:rsidR="00FA36A9" w:rsidRPr="005F4712" w:rsidRDefault="00FA36A9" w:rsidP="003A46D8">
      <w:pPr>
        <w:pStyle w:val="FootnoteText"/>
        <w:rPr>
          <w:sz w:val="32"/>
          <w:szCs w:val="32"/>
        </w:rPr>
      </w:pPr>
      <w:r w:rsidRPr="005F4712">
        <w:rPr>
          <w:rStyle w:val="FootnoteReference"/>
          <w:sz w:val="32"/>
          <w:szCs w:val="32"/>
        </w:rPr>
        <w:footnoteRef/>
      </w:r>
      <w:r w:rsidRPr="005F4712">
        <w:rPr>
          <w:sz w:val="32"/>
          <w:szCs w:val="32"/>
        </w:rPr>
        <w:t xml:space="preserve"> Kelly, L. (1988) Surviving sexual violence</w:t>
      </w:r>
    </w:p>
  </w:footnote>
  <w:footnote w:id="8">
    <w:p w14:paraId="5DECF914" w14:textId="54DC6674" w:rsidR="00FA36A9" w:rsidRPr="00B31B14" w:rsidRDefault="00FA36A9" w:rsidP="003A46D8">
      <w:pPr>
        <w:pStyle w:val="FootnoteText"/>
        <w:rPr>
          <w:sz w:val="32"/>
          <w:szCs w:val="32"/>
        </w:rPr>
      </w:pPr>
      <w:r w:rsidRPr="00B31B14">
        <w:rPr>
          <w:rStyle w:val="FootnoteReference"/>
          <w:sz w:val="32"/>
          <w:szCs w:val="32"/>
        </w:rPr>
        <w:footnoteRef/>
      </w:r>
      <w:r w:rsidRPr="00B31B14">
        <w:rPr>
          <w:sz w:val="32"/>
          <w:szCs w:val="32"/>
        </w:rPr>
        <w:t xml:space="preserve"> Kanyeredzi, A. (2018) Race, Culture, and Gender: Black Female Experiences of Violence and Abuse</w:t>
      </w:r>
    </w:p>
  </w:footnote>
  <w:footnote w:id="9">
    <w:p w14:paraId="68234278" w14:textId="336DAE18" w:rsidR="00FA36A9" w:rsidRDefault="00FA36A9" w:rsidP="00533A55">
      <w:pPr>
        <w:pStyle w:val="FootnoteText"/>
      </w:pPr>
      <w:r w:rsidRPr="00B31B14">
        <w:rPr>
          <w:rStyle w:val="FootnoteReference"/>
          <w:sz w:val="32"/>
          <w:szCs w:val="32"/>
        </w:rPr>
        <w:footnoteRef/>
      </w:r>
      <w:r w:rsidRPr="00B31B14">
        <w:rPr>
          <w:sz w:val="32"/>
          <w:szCs w:val="32"/>
        </w:rPr>
        <w:t xml:space="preserve"> ONS (16 October 2020) Updating ethnic contrasts in deaths involving coronavirus COVID-19: England and Wales, deaths occurring 2 March to 28 July 2020 </w:t>
      </w:r>
      <w:hyperlink r:id="rId7" w:history="1">
        <w:r w:rsidRPr="00B31B14">
          <w:rPr>
            <w:rStyle w:val="Hyperlink"/>
            <w:sz w:val="32"/>
            <w:szCs w:val="32"/>
          </w:rPr>
          <w:t>https://www.ons.gov.uk/releases/explainingethnicbackgroundcontrastsindeathsinvolvingcovid19england2ndmarchto3rdjuly2020</w:t>
        </w:r>
      </w:hyperlink>
      <w:r>
        <w:t xml:space="preserve"> </w:t>
      </w:r>
    </w:p>
  </w:footnote>
  <w:footnote w:id="10">
    <w:p w14:paraId="28E89087" w14:textId="0D2E2934" w:rsidR="00FA36A9" w:rsidRPr="00B31B14" w:rsidRDefault="00FA36A9" w:rsidP="00533A55">
      <w:pPr>
        <w:pStyle w:val="FootnoteText"/>
        <w:rPr>
          <w:sz w:val="32"/>
          <w:szCs w:val="32"/>
        </w:rPr>
      </w:pPr>
      <w:r w:rsidRPr="00B31B14">
        <w:rPr>
          <w:rStyle w:val="FootnoteReference"/>
          <w:sz w:val="32"/>
          <w:szCs w:val="32"/>
        </w:rPr>
        <w:footnoteRef/>
      </w:r>
      <w:r w:rsidRPr="00B31B14">
        <w:rPr>
          <w:sz w:val="32"/>
          <w:szCs w:val="32"/>
        </w:rPr>
        <w:t xml:space="preserve"> ONS (25 November 2020) Domestic Abuse in England and Wales overview: November 2020 </w:t>
      </w:r>
      <w:hyperlink r:id="rId8" w:history="1">
        <w:r w:rsidRPr="00B31B14">
          <w:rPr>
            <w:rStyle w:val="Hyperlink"/>
            <w:sz w:val="32"/>
            <w:szCs w:val="32"/>
          </w:rPr>
          <w:t>https://www.ons.gov.uk/peoplepopulationandcommunity/crimeandjustice/bulletins/domesticabuseinenglandandwalesoverview/november2020</w:t>
        </w:r>
      </w:hyperlink>
      <w:r w:rsidRPr="00B31B14">
        <w:rPr>
          <w:sz w:val="32"/>
          <w:szCs w:val="32"/>
        </w:rPr>
        <w:t xml:space="preserve"> </w:t>
      </w:r>
    </w:p>
  </w:footnote>
  <w:footnote w:id="11">
    <w:p w14:paraId="25E2DAB7" w14:textId="2DAE62F6" w:rsidR="00FA36A9" w:rsidRPr="00B31B14" w:rsidRDefault="00FA36A9" w:rsidP="00464396">
      <w:pPr>
        <w:pStyle w:val="FootnoteText"/>
        <w:widowControl w:val="0"/>
        <w:rPr>
          <w:sz w:val="32"/>
          <w:szCs w:val="32"/>
        </w:rPr>
      </w:pPr>
      <w:r w:rsidRPr="00B31B14">
        <w:rPr>
          <w:rStyle w:val="FootnoteReference"/>
          <w:sz w:val="32"/>
          <w:szCs w:val="32"/>
        </w:rPr>
        <w:footnoteRef/>
      </w:r>
      <w:r w:rsidRPr="00B31B14">
        <w:rPr>
          <w:sz w:val="32"/>
          <w:szCs w:val="32"/>
        </w:rPr>
        <w:t xml:space="preserve"> BBC News (23 July 2020) Coronavirus: Domestic abuse helpline sees lockdown surge, </w:t>
      </w:r>
      <w:hyperlink r:id="rId9" w:history="1">
        <w:r w:rsidRPr="00B31B14">
          <w:rPr>
            <w:rStyle w:val="Hyperlink"/>
            <w:sz w:val="32"/>
            <w:szCs w:val="32"/>
          </w:rPr>
          <w:t>https://www.bbc.co.uk/news/uk-53498675</w:t>
        </w:r>
      </w:hyperlink>
      <w:r w:rsidRPr="00B31B14">
        <w:rPr>
          <w:sz w:val="32"/>
          <w:szCs w:val="32"/>
        </w:rPr>
        <w:t xml:space="preserve"> </w:t>
      </w:r>
    </w:p>
  </w:footnote>
  <w:footnote w:id="12">
    <w:p w14:paraId="1F666DA2" w14:textId="586C3E90" w:rsidR="00FA36A9" w:rsidRPr="00B31B14" w:rsidRDefault="00FA36A9" w:rsidP="00EA7584">
      <w:pPr>
        <w:pStyle w:val="FootnoteText"/>
        <w:rPr>
          <w:sz w:val="32"/>
          <w:szCs w:val="32"/>
        </w:rPr>
      </w:pPr>
      <w:r w:rsidRPr="00B31B14">
        <w:rPr>
          <w:rStyle w:val="FootnoteReference"/>
          <w:sz w:val="32"/>
          <w:szCs w:val="32"/>
        </w:rPr>
        <w:footnoteRef/>
      </w:r>
      <w:r w:rsidRPr="00B31B14">
        <w:rPr>
          <w:sz w:val="32"/>
          <w:szCs w:val="32"/>
        </w:rPr>
        <w:t xml:space="preserve"> Respect (April 2020) Respect's Response to the Home Affairs Call for Evidence COVID-19 Preparedness</w:t>
      </w:r>
      <w:r w:rsidR="00EA7584" w:rsidRPr="00B31B14">
        <w:rPr>
          <w:sz w:val="32"/>
          <w:szCs w:val="32"/>
        </w:rPr>
        <w:t xml:space="preserve"> </w:t>
      </w:r>
      <w:hyperlink r:id="rId10" w:history="1">
        <w:r w:rsidR="00EA7584" w:rsidRPr="00B31B14">
          <w:rPr>
            <w:rStyle w:val="Hyperlink"/>
            <w:sz w:val="32"/>
            <w:szCs w:val="32"/>
          </w:rPr>
          <w:t>https://hubble-live-assets.s3.amazonaws.com/respect/redactor2_assets/files/136/Home_Affairs_Call_for_Evidence_Covid_19_Preparedness_April_2020_FINAL.pdf</w:t>
        </w:r>
      </w:hyperlink>
      <w:r w:rsidR="00EA7584" w:rsidRPr="00B31B14">
        <w:rPr>
          <w:sz w:val="32"/>
          <w:szCs w:val="32"/>
        </w:rPr>
        <w:t xml:space="preserve"> </w:t>
      </w:r>
    </w:p>
  </w:footnote>
  <w:footnote w:id="13">
    <w:p w14:paraId="16438755" w14:textId="77777777" w:rsidR="001C2CD5" w:rsidRPr="00B1066D" w:rsidRDefault="001C2CD5" w:rsidP="001C2CD5">
      <w:pPr>
        <w:pStyle w:val="FootnoteText"/>
        <w:rPr>
          <w:sz w:val="32"/>
          <w:szCs w:val="32"/>
        </w:rPr>
      </w:pPr>
      <w:r w:rsidRPr="00B1066D">
        <w:rPr>
          <w:rStyle w:val="FootnoteReference"/>
          <w:sz w:val="32"/>
          <w:szCs w:val="32"/>
        </w:rPr>
        <w:footnoteRef/>
      </w:r>
      <w:r w:rsidRPr="00B1066D">
        <w:rPr>
          <w:sz w:val="32"/>
          <w:szCs w:val="32"/>
        </w:rPr>
        <w:t xml:space="preserve"> Karma Nirvana (15 June 2020) Findings from Covid-19 Impact Survey on BAME services </w:t>
      </w:r>
      <w:hyperlink r:id="rId11" w:history="1">
        <w:r w:rsidRPr="00B1066D">
          <w:rPr>
            <w:rStyle w:val="Hyperlink"/>
            <w:sz w:val="32"/>
            <w:szCs w:val="32"/>
          </w:rPr>
          <w:t>https://karmanirvana.org.uk/wp-content/uploads/2020/06/Impact-on-BAME-Services_COVID19.pdf</w:t>
        </w:r>
      </w:hyperlink>
      <w:r>
        <w:rPr>
          <w:sz w:val="32"/>
          <w:szCs w:val="32"/>
        </w:rPr>
        <w:t xml:space="preserve">  </w:t>
      </w:r>
    </w:p>
  </w:footnote>
  <w:footnote w:id="14">
    <w:p w14:paraId="37AB8300" w14:textId="77777777" w:rsidR="001C2CD5" w:rsidRPr="00B1066D" w:rsidRDefault="001C2CD5" w:rsidP="001C2CD5">
      <w:pPr>
        <w:pStyle w:val="FootnoteText"/>
        <w:rPr>
          <w:sz w:val="32"/>
          <w:szCs w:val="32"/>
        </w:rPr>
      </w:pPr>
      <w:r w:rsidRPr="00B1066D">
        <w:rPr>
          <w:rStyle w:val="FootnoteReference"/>
          <w:sz w:val="32"/>
          <w:szCs w:val="32"/>
        </w:rPr>
        <w:footnoteRef/>
      </w:r>
      <w:r w:rsidRPr="00B1066D">
        <w:rPr>
          <w:sz w:val="32"/>
          <w:szCs w:val="32"/>
        </w:rPr>
        <w:t xml:space="preserve"> Safety4Sisters (19 October 2020) Locked in Abuse, Locked out of Safety: The pandemic experiences of migrant women </w:t>
      </w:r>
      <w:hyperlink r:id="rId12" w:history="1">
        <w:r w:rsidRPr="00B1066D">
          <w:rPr>
            <w:rStyle w:val="Hyperlink"/>
            <w:sz w:val="32"/>
            <w:szCs w:val="32"/>
          </w:rPr>
          <w:t>https://static1.squarespace.com/static/5af498dd3c3a53848b8530b6/t/5f8d43da5688f32ed1347aaa/1603093480213/Locked_in_abuse_locked_out_of_safety_S4Sreport.pdf</w:t>
        </w:r>
      </w:hyperlink>
      <w:r>
        <w:rPr>
          <w:sz w:val="32"/>
          <w:szCs w:val="32"/>
        </w:rPr>
        <w:t xml:space="preserve"> </w:t>
      </w:r>
    </w:p>
  </w:footnote>
  <w:footnote w:id="15">
    <w:p w14:paraId="49CD568A" w14:textId="77777777" w:rsidR="001C2CD5" w:rsidRDefault="001C2CD5" w:rsidP="001C2CD5">
      <w:pPr>
        <w:pStyle w:val="FootnoteText"/>
      </w:pPr>
      <w:r w:rsidRPr="00B1066D">
        <w:rPr>
          <w:rStyle w:val="FootnoteReference"/>
          <w:sz w:val="32"/>
          <w:szCs w:val="32"/>
        </w:rPr>
        <w:footnoteRef/>
      </w:r>
      <w:r w:rsidRPr="00B1066D">
        <w:rPr>
          <w:sz w:val="32"/>
          <w:szCs w:val="32"/>
        </w:rPr>
        <w:t xml:space="preserve"> Karma Nirvana, op. cit.</w:t>
      </w:r>
    </w:p>
  </w:footnote>
  <w:footnote w:id="16">
    <w:p w14:paraId="090CBF30" w14:textId="01BE6F34" w:rsidR="00EC7B1D" w:rsidRPr="00B31B14" w:rsidRDefault="00EC7B1D">
      <w:pPr>
        <w:pStyle w:val="FootnoteText"/>
        <w:rPr>
          <w:sz w:val="32"/>
          <w:szCs w:val="32"/>
        </w:rPr>
      </w:pPr>
      <w:r w:rsidRPr="00B31B14">
        <w:rPr>
          <w:rStyle w:val="FootnoteReference"/>
          <w:sz w:val="32"/>
          <w:szCs w:val="32"/>
        </w:rPr>
        <w:footnoteRef/>
      </w:r>
      <w:r w:rsidRPr="00B31B14">
        <w:rPr>
          <w:sz w:val="32"/>
          <w:szCs w:val="32"/>
        </w:rPr>
        <w:t xml:space="preserve"> FORWARD (February 2021) ‘Do No Harm’: Experiences and Impacts of FGM Safeguarding, Bristol Study </w:t>
      </w:r>
      <w:hyperlink r:id="rId13" w:history="1">
        <w:r w:rsidRPr="00B31B14">
          <w:rPr>
            <w:rStyle w:val="Hyperlink"/>
            <w:sz w:val="32"/>
            <w:szCs w:val="32"/>
          </w:rPr>
          <w:t>https://www.forwarduk.org.uk/wp-content/uploads/2021/01/Forward-FGM-Safeguarding-Research-Report-Bristol-Study-2021.pdf</w:t>
        </w:r>
      </w:hyperlink>
      <w:r w:rsidRPr="00B31B14">
        <w:rPr>
          <w:sz w:val="32"/>
          <w:szCs w:val="32"/>
        </w:rPr>
        <w:t xml:space="preserve"> </w:t>
      </w:r>
    </w:p>
  </w:footnote>
  <w:footnote w:id="17">
    <w:p w14:paraId="5ABD2FC0" w14:textId="311A4F55" w:rsidR="00EC7B1D" w:rsidRPr="00B31B14" w:rsidRDefault="00EC7B1D">
      <w:pPr>
        <w:pStyle w:val="FootnoteText"/>
        <w:rPr>
          <w:sz w:val="32"/>
          <w:szCs w:val="32"/>
        </w:rPr>
      </w:pPr>
      <w:r w:rsidRPr="00B31B14">
        <w:rPr>
          <w:rStyle w:val="FootnoteReference"/>
          <w:sz w:val="32"/>
          <w:szCs w:val="32"/>
        </w:rPr>
        <w:footnoteRef/>
      </w:r>
      <w:r w:rsidRPr="00B31B14">
        <w:rPr>
          <w:sz w:val="32"/>
          <w:szCs w:val="32"/>
        </w:rPr>
        <w:t xml:space="preserve"> P.83, Ibid.</w:t>
      </w:r>
    </w:p>
  </w:footnote>
  <w:footnote w:id="18">
    <w:p w14:paraId="0115511C" w14:textId="5953D9FD" w:rsidR="00FA36A9" w:rsidRPr="00B31B14" w:rsidRDefault="00FA36A9" w:rsidP="00466D68">
      <w:pPr>
        <w:pStyle w:val="FootnoteText"/>
        <w:rPr>
          <w:sz w:val="32"/>
          <w:szCs w:val="32"/>
        </w:rPr>
      </w:pPr>
      <w:r w:rsidRPr="00B31B14">
        <w:rPr>
          <w:rStyle w:val="FootnoteReference"/>
          <w:sz w:val="32"/>
          <w:szCs w:val="32"/>
        </w:rPr>
        <w:footnoteRef/>
      </w:r>
      <w:r w:rsidRPr="00B31B14">
        <w:rPr>
          <w:sz w:val="32"/>
          <w:szCs w:val="32"/>
        </w:rPr>
        <w:t xml:space="preserve"> Women’s Aid (18 August 2020) A Perfect Storm – The impact of the Covid-19 pandemic on domestic abuse survivors and the services supporting them </w:t>
      </w:r>
      <w:hyperlink r:id="rId14" w:history="1">
        <w:r w:rsidRPr="00B31B14">
          <w:rPr>
            <w:rStyle w:val="Hyperlink"/>
            <w:sz w:val="32"/>
            <w:szCs w:val="32"/>
          </w:rPr>
          <w:t>https://www.womensaid.org.uk/wp-content/uploads/2020/08/A-Perfect-Storm-August-2020-1.pdf</w:t>
        </w:r>
      </w:hyperlink>
      <w:r w:rsidRPr="00B31B14">
        <w:rPr>
          <w:sz w:val="32"/>
          <w:szCs w:val="32"/>
        </w:rPr>
        <w:t xml:space="preserve"> </w:t>
      </w:r>
    </w:p>
  </w:footnote>
  <w:footnote w:id="19">
    <w:p w14:paraId="40AC2941" w14:textId="77777777" w:rsidR="001C2CD5" w:rsidRDefault="001C2CD5" w:rsidP="001C2CD5">
      <w:pPr>
        <w:pStyle w:val="FootnoteText"/>
      </w:pPr>
      <w:r w:rsidRPr="00B1066D">
        <w:rPr>
          <w:rStyle w:val="FootnoteReference"/>
          <w:sz w:val="32"/>
          <w:szCs w:val="32"/>
        </w:rPr>
        <w:footnoteRef/>
      </w:r>
      <w:r w:rsidRPr="00B1066D">
        <w:rPr>
          <w:sz w:val="32"/>
          <w:szCs w:val="32"/>
        </w:rPr>
        <w:t xml:space="preserve"> Safety4Sisters, op cit.</w:t>
      </w:r>
    </w:p>
  </w:footnote>
  <w:footnote w:id="20">
    <w:p w14:paraId="0954C73A" w14:textId="6D3C87F3"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Women’s Aid (June 2020) The domestic abuse report 2020: The Hidden Housing Crisis, </w:t>
      </w:r>
    </w:p>
  </w:footnote>
  <w:footnote w:id="21">
    <w:p w14:paraId="2C6B3E6E" w14:textId="6B78FCCA"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Imkaan (2016). ‘Capital Losses’. London: Imkaan</w:t>
      </w:r>
    </w:p>
  </w:footnote>
  <w:footnote w:id="22">
    <w:p w14:paraId="41998D44" w14:textId="458E787D" w:rsidR="00EC7B1D" w:rsidRPr="00B31B14" w:rsidRDefault="00EC7B1D">
      <w:pPr>
        <w:pStyle w:val="FootnoteText"/>
        <w:rPr>
          <w:sz w:val="32"/>
          <w:szCs w:val="32"/>
        </w:rPr>
      </w:pPr>
      <w:r w:rsidRPr="00B31B14">
        <w:rPr>
          <w:rStyle w:val="FootnoteReference"/>
          <w:sz w:val="32"/>
          <w:szCs w:val="32"/>
        </w:rPr>
        <w:footnoteRef/>
      </w:r>
      <w:r w:rsidRPr="00B31B14">
        <w:rPr>
          <w:sz w:val="32"/>
          <w:szCs w:val="32"/>
        </w:rPr>
        <w:t xml:space="preserve"> CPS (July 2020) CPS data summary Quarter 4 2019-2020 </w:t>
      </w:r>
      <w:hyperlink r:id="rId15" w:history="1">
        <w:r w:rsidRPr="00B31B14">
          <w:rPr>
            <w:rStyle w:val="Hyperlink"/>
            <w:sz w:val="32"/>
            <w:szCs w:val="32"/>
          </w:rPr>
          <w:t>https://www.cps.gov.uk/publication/cps-data-summary-quarter-4-2019-2020</w:t>
        </w:r>
      </w:hyperlink>
      <w:r w:rsidRPr="00B31B14">
        <w:rPr>
          <w:sz w:val="32"/>
          <w:szCs w:val="32"/>
        </w:rPr>
        <w:t xml:space="preserve"> </w:t>
      </w:r>
    </w:p>
  </w:footnote>
  <w:footnote w:id="23">
    <w:p w14:paraId="2F2C9BB4" w14:textId="5D600FB1" w:rsidR="00FA36A9" w:rsidRPr="00B31B14" w:rsidRDefault="00FA36A9" w:rsidP="00533A55">
      <w:pPr>
        <w:pStyle w:val="FootnoteText"/>
        <w:rPr>
          <w:sz w:val="32"/>
          <w:szCs w:val="32"/>
        </w:rPr>
      </w:pPr>
      <w:r w:rsidRPr="00B31B14">
        <w:rPr>
          <w:rStyle w:val="FootnoteReference"/>
          <w:sz w:val="32"/>
          <w:szCs w:val="32"/>
        </w:rPr>
        <w:footnoteRef/>
      </w:r>
      <w:r w:rsidRPr="00B31B14">
        <w:rPr>
          <w:sz w:val="32"/>
          <w:szCs w:val="32"/>
        </w:rPr>
        <w:t xml:space="preserve"> ONS (April 2020) Crime in England and Wales: year ending December 2019</w:t>
      </w:r>
    </w:p>
  </w:footnote>
  <w:footnote w:id="24">
    <w:p w14:paraId="38EAEEEB" w14:textId="69EF22C0" w:rsidR="00EC7B1D" w:rsidRPr="00B31B14" w:rsidRDefault="00EC7B1D">
      <w:pPr>
        <w:pStyle w:val="FootnoteText"/>
        <w:rPr>
          <w:sz w:val="32"/>
          <w:szCs w:val="32"/>
        </w:rPr>
      </w:pPr>
      <w:r w:rsidRPr="00B31B14">
        <w:rPr>
          <w:rStyle w:val="FootnoteReference"/>
          <w:sz w:val="32"/>
          <w:szCs w:val="32"/>
        </w:rPr>
        <w:footnoteRef/>
      </w:r>
      <w:r w:rsidRPr="00B31B14">
        <w:rPr>
          <w:sz w:val="32"/>
          <w:szCs w:val="32"/>
        </w:rPr>
        <w:t xml:space="preserve"> It is EVAW’s position, as set out in their Judicial Review against the CPS for their failure to prosecute rape, that this disastrous collapse in cases proceeding to trial is a result of a covert policy change, meaning that in 2016-17 prosecutors were encouraged not to charge so called “weaker cases” with the aim of improving their conviction rate </w:t>
      </w:r>
      <w:hyperlink r:id="rId16" w:history="1">
        <w:r w:rsidRPr="00B31B14">
          <w:rPr>
            <w:rStyle w:val="Hyperlink"/>
            <w:sz w:val="32"/>
            <w:szCs w:val="32"/>
          </w:rPr>
          <w:t>https://www.endviolenceagainstwomen.org.uk/26-27-january-court-of-appeal-rape-campaigners-face-cps-in-court/</w:t>
        </w:r>
      </w:hyperlink>
      <w:r w:rsidRPr="00B31B14">
        <w:rPr>
          <w:sz w:val="32"/>
          <w:szCs w:val="32"/>
        </w:rPr>
        <w:t xml:space="preserve"> </w:t>
      </w:r>
    </w:p>
  </w:footnote>
  <w:footnote w:id="25">
    <w:p w14:paraId="1352E6BE" w14:textId="74AABC7A"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The Times (13 September 2020) Rape victims may be denied justice by courts backlog, </w:t>
      </w:r>
      <w:hyperlink r:id="rId17" w:history="1">
        <w:r w:rsidRPr="00B31B14">
          <w:rPr>
            <w:rStyle w:val="Hyperlink"/>
            <w:sz w:val="32"/>
            <w:szCs w:val="32"/>
          </w:rPr>
          <w:t>https://www.thetimes.co.uk/article/rape-victims-may-be-denied-justice-by-courts-backlog-r2mswzbhs</w:t>
        </w:r>
      </w:hyperlink>
      <w:r w:rsidRPr="00B31B14">
        <w:rPr>
          <w:sz w:val="32"/>
          <w:szCs w:val="32"/>
        </w:rPr>
        <w:t xml:space="preserve"> </w:t>
      </w:r>
    </w:p>
  </w:footnote>
  <w:footnote w:id="26">
    <w:p w14:paraId="3FBB0FC3" w14:textId="7CEA2392"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w:t>
      </w:r>
      <w:r w:rsidR="00EC7B1D" w:rsidRPr="00B31B14">
        <w:rPr>
          <w:sz w:val="32"/>
          <w:szCs w:val="32"/>
        </w:rPr>
        <w:t>ONS (8 February 2018) Sexual offences in England and Wales: year ending March 2017</w:t>
      </w:r>
    </w:p>
  </w:footnote>
  <w:footnote w:id="27">
    <w:p w14:paraId="5D5E10D8" w14:textId="3D63885B" w:rsidR="00FA36A9" w:rsidRPr="00B31B14" w:rsidRDefault="00FA36A9" w:rsidP="00533A55">
      <w:pPr>
        <w:pStyle w:val="FootnoteText"/>
        <w:rPr>
          <w:sz w:val="32"/>
          <w:szCs w:val="32"/>
        </w:rPr>
      </w:pPr>
      <w:r w:rsidRPr="00B31B14">
        <w:rPr>
          <w:rStyle w:val="FootnoteReference"/>
          <w:sz w:val="32"/>
          <w:szCs w:val="32"/>
        </w:rPr>
        <w:footnoteRef/>
      </w:r>
      <w:r w:rsidRPr="00B31B14">
        <w:rPr>
          <w:sz w:val="32"/>
          <w:szCs w:val="32"/>
        </w:rPr>
        <w:t xml:space="preserve"> </w:t>
      </w:r>
      <w:r w:rsidR="00EC7B1D" w:rsidRPr="00B31B14">
        <w:rPr>
          <w:sz w:val="32"/>
          <w:szCs w:val="32"/>
        </w:rPr>
        <w:t>Ibid</w:t>
      </w:r>
    </w:p>
  </w:footnote>
  <w:footnote w:id="28">
    <w:p w14:paraId="488DA440" w14:textId="77777777" w:rsidR="00B13C63" w:rsidRDefault="00B13C63" w:rsidP="00B13C63">
      <w:pPr>
        <w:pStyle w:val="FootnoteText"/>
      </w:pPr>
      <w:r>
        <w:rPr>
          <w:rStyle w:val="FootnoteReference"/>
        </w:rPr>
        <w:footnoteRef/>
      </w:r>
      <w:r>
        <w:t xml:space="preserve"> </w:t>
      </w:r>
      <w:proofErr w:type="spellStart"/>
      <w:r>
        <w:t>Manjoo</w:t>
      </w:r>
      <w:proofErr w:type="spellEnd"/>
      <w:r>
        <w:t>, R. (2014) ‘Report of the Special Rapporteur on violence against women, its causes and consequences’ (A/HRC/26/38)</w:t>
      </w:r>
    </w:p>
  </w:footnote>
  <w:footnote w:id="29">
    <w:p w14:paraId="5AEA11A1" w14:textId="665DC947" w:rsidR="00FA36A9" w:rsidRPr="00B31B14" w:rsidRDefault="00FA36A9" w:rsidP="00533A55">
      <w:pPr>
        <w:pStyle w:val="FootnoteText"/>
        <w:rPr>
          <w:sz w:val="32"/>
          <w:szCs w:val="32"/>
        </w:rPr>
      </w:pPr>
      <w:r w:rsidRPr="00B31B14">
        <w:rPr>
          <w:rStyle w:val="FootnoteReference"/>
          <w:sz w:val="32"/>
          <w:szCs w:val="32"/>
        </w:rPr>
        <w:footnoteRef/>
      </w:r>
      <w:r w:rsidRPr="00B31B14">
        <w:rPr>
          <w:sz w:val="32"/>
          <w:szCs w:val="32"/>
        </w:rPr>
        <w:t xml:space="preserve"> Equality and Human Rights Commission (22 April 2020) Inclusive justice: a system designed for all - Interim evidence report: Video hearings and their impact on effective participation, </w:t>
      </w:r>
      <w:hyperlink r:id="rId18" w:history="1">
        <w:r w:rsidRPr="00B31B14">
          <w:rPr>
            <w:rStyle w:val="Hyperlink"/>
            <w:sz w:val="32"/>
            <w:szCs w:val="32"/>
          </w:rPr>
          <w:t>https://www.equalityhumanrights.com/sites/default/files/inclusive_justice_a_system_designed_for_all_interim_report_0.pdf</w:t>
        </w:r>
      </w:hyperlink>
      <w:r w:rsidRPr="00B31B14">
        <w:rPr>
          <w:sz w:val="32"/>
          <w:szCs w:val="32"/>
        </w:rPr>
        <w:t xml:space="preserve"> </w:t>
      </w:r>
    </w:p>
  </w:footnote>
  <w:footnote w:id="30">
    <w:p w14:paraId="5DF34F19" w14:textId="2BBDDF02"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The Guardian (8 July 2020) Sharp increase in UK child sexual abuse during pandemic </w:t>
      </w:r>
      <w:hyperlink r:id="rId19" w:history="1">
        <w:r w:rsidRPr="00B31B14">
          <w:rPr>
            <w:rStyle w:val="Hyperlink"/>
            <w:sz w:val="32"/>
            <w:szCs w:val="32"/>
          </w:rPr>
          <w:t>https://www.theguardian.com/society/2020/jul/08/sharp-increase-in-uk-child-sexual-abuse-during-pandemic</w:t>
        </w:r>
      </w:hyperlink>
    </w:p>
  </w:footnote>
  <w:footnote w:id="31">
    <w:p w14:paraId="6B8867C0" w14:textId="29A09C3F"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The Guardian (20 May 2020) Watchdog reveals 8.8m attempts to access online child abuse in April </w:t>
      </w:r>
      <w:hyperlink r:id="rId20" w:history="1">
        <w:r w:rsidRPr="00B31B14">
          <w:rPr>
            <w:rStyle w:val="Hyperlink"/>
            <w:sz w:val="32"/>
            <w:szCs w:val="32"/>
          </w:rPr>
          <w:t>https://www.theguardian.com/society/2020/may/20/watchdog-reveals-88m-attempts-to-access-online-child-abuse-in-april</w:t>
        </w:r>
      </w:hyperlink>
      <w:r w:rsidRPr="00B31B14">
        <w:rPr>
          <w:sz w:val="32"/>
          <w:szCs w:val="32"/>
        </w:rPr>
        <w:t xml:space="preserve"> </w:t>
      </w:r>
    </w:p>
  </w:footnote>
  <w:footnote w:id="32">
    <w:p w14:paraId="73B86929" w14:textId="19BA4DAC" w:rsidR="00EA7584" w:rsidRPr="00B31B14" w:rsidRDefault="00EA7584">
      <w:pPr>
        <w:pStyle w:val="FootnoteText"/>
        <w:rPr>
          <w:sz w:val="32"/>
          <w:szCs w:val="32"/>
        </w:rPr>
      </w:pPr>
      <w:r w:rsidRPr="00B31B14">
        <w:rPr>
          <w:rStyle w:val="FootnoteReference"/>
          <w:sz w:val="32"/>
          <w:szCs w:val="32"/>
        </w:rPr>
        <w:footnoteRef/>
      </w:r>
      <w:r w:rsidRPr="00B31B14">
        <w:rPr>
          <w:sz w:val="32"/>
          <w:szCs w:val="32"/>
        </w:rPr>
        <w:t xml:space="preserve"> Local Government Association (7 September 2020) Children's social care referrals fell by a fifth during lockdown </w:t>
      </w:r>
      <w:hyperlink r:id="rId21" w:history="1">
        <w:r w:rsidR="006D5774" w:rsidRPr="00B31B14">
          <w:rPr>
            <w:rStyle w:val="Hyperlink"/>
            <w:sz w:val="32"/>
            <w:szCs w:val="32"/>
          </w:rPr>
          <w:t>https://www.local.gov.uk/childrens-social-care-referrals-fell-fifth-during-lockdown</w:t>
        </w:r>
      </w:hyperlink>
      <w:r w:rsidR="006D5774" w:rsidRPr="00B31B14">
        <w:rPr>
          <w:sz w:val="32"/>
          <w:szCs w:val="32"/>
        </w:rPr>
        <w:t xml:space="preserve"> </w:t>
      </w:r>
    </w:p>
  </w:footnote>
  <w:footnote w:id="33">
    <w:p w14:paraId="7BC5CB58" w14:textId="3E6A88E3" w:rsidR="00FA36A9" w:rsidRPr="00B31B14" w:rsidRDefault="00FA36A9" w:rsidP="00C9674F">
      <w:pPr>
        <w:pStyle w:val="FootnoteText"/>
        <w:rPr>
          <w:sz w:val="32"/>
          <w:szCs w:val="32"/>
        </w:rPr>
      </w:pPr>
      <w:r w:rsidRPr="00B31B14">
        <w:rPr>
          <w:rStyle w:val="FootnoteReference"/>
          <w:sz w:val="32"/>
          <w:szCs w:val="32"/>
        </w:rPr>
        <w:footnoteRef/>
      </w:r>
      <w:r w:rsidRPr="00B31B14">
        <w:rPr>
          <w:sz w:val="32"/>
          <w:szCs w:val="32"/>
        </w:rPr>
        <w:t xml:space="preserve"> The Children’s Commissioner (January 2021) Too many at-risk children are still invisible to social care </w:t>
      </w:r>
      <w:hyperlink r:id="rId22" w:history="1">
        <w:r w:rsidRPr="00B31B14">
          <w:rPr>
            <w:rStyle w:val="Hyperlink"/>
            <w:sz w:val="32"/>
            <w:szCs w:val="32"/>
          </w:rPr>
          <w:t>https://www.childrenscommissioner.gov.uk/wp-content/uploads/2021/01/cco-too-many-at-risk-children-are-still-invisible-to-social-care.pdf</w:t>
        </w:r>
      </w:hyperlink>
      <w:r w:rsidRPr="00B31B14">
        <w:rPr>
          <w:sz w:val="32"/>
          <w:szCs w:val="32"/>
        </w:rPr>
        <w:t xml:space="preserve"> </w:t>
      </w:r>
    </w:p>
  </w:footnote>
  <w:footnote w:id="34">
    <w:p w14:paraId="02C94009" w14:textId="463973B6"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National Youth Agency (2 June 2020) ‘Hidden in Plain Sight’ – A Youth Work Response to Gangs and Exploitation during COVID-19 </w:t>
      </w:r>
      <w:hyperlink r:id="rId23" w:history="1">
        <w:r w:rsidRPr="00B31B14">
          <w:rPr>
            <w:rStyle w:val="Hyperlink"/>
            <w:sz w:val="32"/>
            <w:szCs w:val="32"/>
          </w:rPr>
          <w:t>https://nya.org.uk/2020/06/hidden-in-plain-sight/</w:t>
        </w:r>
      </w:hyperlink>
      <w:r w:rsidRPr="00B31B14">
        <w:rPr>
          <w:sz w:val="32"/>
          <w:szCs w:val="32"/>
        </w:rPr>
        <w:t xml:space="preserve"> </w:t>
      </w:r>
    </w:p>
  </w:footnote>
  <w:footnote w:id="35">
    <w:p w14:paraId="5432F45A" w14:textId="5154C04B"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Glitch and EVAW (September 2020) The Ripple Effect: Covid-19 and the Epidemic of Online Abuse </w:t>
      </w:r>
      <w:hyperlink r:id="rId24" w:history="1">
        <w:r w:rsidRPr="00B31B14">
          <w:rPr>
            <w:rStyle w:val="Hyperlink"/>
            <w:sz w:val="32"/>
            <w:szCs w:val="32"/>
          </w:rPr>
          <w:t>https://www.endviolenceagainstwomen.org.uk/wp-content/uploads/Glitch-and-EVAW-The-Ripple-Effect-Online-abuse-during-COVID-19-Sept-2020.pdf</w:t>
        </w:r>
      </w:hyperlink>
      <w:r w:rsidRPr="00B31B14">
        <w:rPr>
          <w:sz w:val="32"/>
          <w:szCs w:val="32"/>
        </w:rPr>
        <w:t xml:space="preserve"> </w:t>
      </w:r>
    </w:p>
  </w:footnote>
  <w:footnote w:id="36">
    <w:p w14:paraId="16D0554C" w14:textId="2C38AA12" w:rsidR="00E0563C" w:rsidRPr="00B31B14" w:rsidRDefault="00E0563C">
      <w:pPr>
        <w:pStyle w:val="FootnoteText"/>
        <w:rPr>
          <w:sz w:val="32"/>
          <w:szCs w:val="32"/>
        </w:rPr>
      </w:pPr>
      <w:r w:rsidRPr="00B31B14">
        <w:rPr>
          <w:rStyle w:val="FootnoteReference"/>
          <w:sz w:val="32"/>
          <w:szCs w:val="32"/>
        </w:rPr>
        <w:footnoteRef/>
      </w:r>
      <w:r w:rsidRPr="00B31B14">
        <w:rPr>
          <w:sz w:val="32"/>
          <w:szCs w:val="32"/>
        </w:rPr>
        <w:t xml:space="preserve"> Women’s Aid Online and Digital abuse </w:t>
      </w:r>
      <w:hyperlink r:id="rId25" w:history="1">
        <w:r w:rsidR="006D5774" w:rsidRPr="00B31B14">
          <w:rPr>
            <w:rStyle w:val="Hyperlink"/>
            <w:sz w:val="32"/>
            <w:szCs w:val="32"/>
          </w:rPr>
          <w:t>https://www.womensaid.org.uk/information-support/what-is-domestic-abuse/onlinesafety/</w:t>
        </w:r>
      </w:hyperlink>
      <w:r w:rsidR="006D5774" w:rsidRPr="00B31B14">
        <w:rPr>
          <w:sz w:val="32"/>
          <w:szCs w:val="32"/>
        </w:rPr>
        <w:t xml:space="preserve"> </w:t>
      </w:r>
    </w:p>
  </w:footnote>
  <w:footnote w:id="37">
    <w:p w14:paraId="1D75AF22" w14:textId="67516592" w:rsidR="00814558" w:rsidRPr="00B31B14" w:rsidRDefault="00814558">
      <w:pPr>
        <w:pStyle w:val="FootnoteText"/>
        <w:rPr>
          <w:sz w:val="32"/>
          <w:szCs w:val="32"/>
        </w:rPr>
      </w:pPr>
      <w:r w:rsidRPr="00B31B14">
        <w:rPr>
          <w:rStyle w:val="FootnoteReference"/>
          <w:sz w:val="32"/>
          <w:szCs w:val="32"/>
        </w:rPr>
        <w:footnoteRef/>
      </w:r>
      <w:r w:rsidRPr="00B31B14">
        <w:rPr>
          <w:sz w:val="32"/>
          <w:szCs w:val="32"/>
        </w:rPr>
        <w:t xml:space="preserve"> ONS (25 November 2020) Domestic abuse and the criminal justice system, England and Wales: November 2020 </w:t>
      </w:r>
      <w:hyperlink r:id="rId26" w:history="1">
        <w:r w:rsidR="006D5774" w:rsidRPr="00B31B14">
          <w:rPr>
            <w:rStyle w:val="Hyperlink"/>
            <w:sz w:val="32"/>
            <w:szCs w:val="32"/>
          </w:rPr>
          <w:t>https://www.ons.gov.uk/peoplepopulationandcommunity/crimeandjustice/articles/domesticabuseandthecriminaljusticesystemenglandandwales/november2020</w:t>
        </w:r>
      </w:hyperlink>
      <w:r w:rsidR="006D5774" w:rsidRPr="00B31B14">
        <w:rPr>
          <w:sz w:val="32"/>
          <w:szCs w:val="32"/>
        </w:rPr>
        <w:t xml:space="preserve"> </w:t>
      </w:r>
    </w:p>
  </w:footnote>
  <w:footnote w:id="38">
    <w:p w14:paraId="26C04855" w14:textId="6EE7AA3B" w:rsidR="00FA36A9" w:rsidRDefault="00FA36A9" w:rsidP="001F7571">
      <w:pPr>
        <w:pStyle w:val="FootnoteText"/>
      </w:pPr>
      <w:r w:rsidRPr="00B31B14">
        <w:rPr>
          <w:rStyle w:val="FootnoteReference"/>
          <w:sz w:val="32"/>
          <w:szCs w:val="32"/>
        </w:rPr>
        <w:footnoteRef/>
      </w:r>
      <w:r w:rsidRPr="00B31B14">
        <w:rPr>
          <w:sz w:val="32"/>
          <w:szCs w:val="32"/>
        </w:rPr>
        <w:t xml:space="preserve"> Hester, M. et al. (February 2020) Evaluation of the Drive Project – A Three-year Pilot to Address High-risk, High-harm Perpetrators of Domestic Abuse </w:t>
      </w:r>
      <w:hyperlink r:id="rId27" w:history="1">
        <w:r w:rsidRPr="00B31B14">
          <w:rPr>
            <w:rStyle w:val="Hyperlink"/>
            <w:sz w:val="32"/>
            <w:szCs w:val="32"/>
          </w:rPr>
          <w:t>http://driveproject.org.uk/wp-content/uploads/2020/02/Executive-Summary_Final2020.pdf</w:t>
        </w:r>
      </w:hyperlink>
      <w:r>
        <w:t xml:space="preserve"> </w:t>
      </w:r>
    </w:p>
  </w:footnote>
  <w:footnote w:id="39">
    <w:p w14:paraId="105FB127" w14:textId="295D76C2" w:rsidR="00FA36A9" w:rsidRPr="00B31B14" w:rsidRDefault="00FA36A9" w:rsidP="00371EE2">
      <w:pPr>
        <w:pStyle w:val="FootnoteText"/>
        <w:rPr>
          <w:sz w:val="32"/>
          <w:szCs w:val="32"/>
        </w:rPr>
      </w:pPr>
      <w:r w:rsidRPr="00B31B14">
        <w:rPr>
          <w:rStyle w:val="FootnoteReference"/>
          <w:sz w:val="32"/>
          <w:szCs w:val="32"/>
        </w:rPr>
        <w:footnoteRef/>
      </w:r>
      <w:r w:rsidRPr="00B31B14">
        <w:rPr>
          <w:sz w:val="32"/>
          <w:szCs w:val="32"/>
        </w:rPr>
        <w:t xml:space="preserve"> Adisa O., and Allen K. (August 2020) Increasing safety for those experiencing family and intimate relationship harm within black and minority ethnic communities by responding to those who harm: Survey findings. University of Suffolk. </w:t>
      </w:r>
      <w:hyperlink r:id="rId28" w:history="1">
        <w:r w:rsidRPr="00B31B14">
          <w:rPr>
            <w:rStyle w:val="Hyperlink"/>
            <w:sz w:val="32"/>
            <w:szCs w:val="32"/>
          </w:rPr>
          <w:t>https://www.uos.ac.uk/sites/www.uos.ac.uk/files/Family%20and%20intimate%20relationship%20harm%20within%20black%20and%20minority%20ethnic%20communitiesFINAL%20%281%29.pdf</w:t>
        </w:r>
      </w:hyperlink>
      <w:r w:rsidRPr="00B31B14">
        <w:rPr>
          <w:sz w:val="32"/>
          <w:szCs w:val="32"/>
        </w:rPr>
        <w:t xml:space="preserve"> </w:t>
      </w:r>
    </w:p>
  </w:footnote>
  <w:footnote w:id="40">
    <w:p w14:paraId="495EFF0C" w14:textId="53D3A488" w:rsidR="00FA36A9" w:rsidRPr="00B31B14" w:rsidRDefault="00FA36A9" w:rsidP="001F7571">
      <w:pPr>
        <w:pStyle w:val="FootnoteText"/>
        <w:rPr>
          <w:sz w:val="32"/>
          <w:szCs w:val="32"/>
        </w:rPr>
      </w:pPr>
      <w:r w:rsidRPr="00B31B14">
        <w:rPr>
          <w:rStyle w:val="FootnoteReference"/>
          <w:sz w:val="32"/>
          <w:szCs w:val="32"/>
        </w:rPr>
        <w:footnoteRef/>
      </w:r>
      <w:r w:rsidRPr="00B31B14">
        <w:rPr>
          <w:sz w:val="32"/>
          <w:szCs w:val="32"/>
        </w:rPr>
        <w:t xml:space="preserve"> The Metro (September 2020) Huge rise in women and girls going to hospital for physical, mental or sexual abuse, </w:t>
      </w:r>
      <w:hyperlink r:id="rId29" w:history="1">
        <w:r w:rsidRPr="00B31B14">
          <w:rPr>
            <w:rStyle w:val="Hyperlink"/>
            <w:sz w:val="32"/>
            <w:szCs w:val="32"/>
          </w:rPr>
          <w:t>https://metro.co.uk/2020/09/23/huge-rise-in-women-and-girls-going-to-hospital-for-physical-mental-or-sexual-abuse-13313166/?ito=cbshare</w:t>
        </w:r>
      </w:hyperlink>
      <w:r w:rsidRPr="00B31B14">
        <w:rPr>
          <w:sz w:val="32"/>
          <w:szCs w:val="32"/>
        </w:rPr>
        <w:t xml:space="preserve"> </w:t>
      </w:r>
    </w:p>
  </w:footnote>
  <w:footnote w:id="41">
    <w:p w14:paraId="7FF2CC82" w14:textId="141DAEE1"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Standing Together Against Domestic Abuse (June 2020) Pathfinder Key Findings Report, </w:t>
      </w:r>
      <w:hyperlink r:id="rId30" w:history="1">
        <w:r w:rsidRPr="00B31B14">
          <w:rPr>
            <w:rStyle w:val="Hyperlink"/>
            <w:sz w:val="32"/>
            <w:szCs w:val="32"/>
          </w:rPr>
          <w:t>https://static1.squarespace.com/static/5ee0be2588f1e349401c832c/t/5ef35fc7d4c474437a774783/1593008073853/Pathfinder+Key+Findings+Report_Final.pdf</w:t>
        </w:r>
      </w:hyperlink>
      <w:r w:rsidRPr="00B31B14">
        <w:rPr>
          <w:sz w:val="32"/>
          <w:szCs w:val="32"/>
        </w:rPr>
        <w:t xml:space="preserve"> </w:t>
      </w:r>
    </w:p>
  </w:footnote>
  <w:footnote w:id="42">
    <w:p w14:paraId="483DF23F" w14:textId="1AEF5280"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P.9, Ibid.</w:t>
      </w:r>
    </w:p>
  </w:footnote>
  <w:footnote w:id="43">
    <w:p w14:paraId="42F848E6" w14:textId="599B9132"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P.11, Ibid.</w:t>
      </w:r>
    </w:p>
  </w:footnote>
  <w:footnote w:id="44">
    <w:p w14:paraId="268466C3" w14:textId="329A06D5" w:rsidR="00E60E08" w:rsidRPr="00B31B14" w:rsidRDefault="00E60E08">
      <w:pPr>
        <w:pStyle w:val="FootnoteText"/>
        <w:rPr>
          <w:sz w:val="32"/>
          <w:szCs w:val="32"/>
        </w:rPr>
      </w:pPr>
      <w:r w:rsidRPr="00B31B14">
        <w:rPr>
          <w:rStyle w:val="FootnoteReference"/>
          <w:sz w:val="32"/>
          <w:szCs w:val="32"/>
        </w:rPr>
        <w:footnoteRef/>
      </w:r>
      <w:r w:rsidRPr="00B31B14">
        <w:rPr>
          <w:sz w:val="32"/>
          <w:szCs w:val="32"/>
        </w:rPr>
        <w:t xml:space="preserve"> IRISi Interventions </w:t>
      </w:r>
      <w:hyperlink r:id="rId31" w:history="1">
        <w:r w:rsidR="00FF1791" w:rsidRPr="00B31B14">
          <w:rPr>
            <w:rStyle w:val="Hyperlink"/>
            <w:sz w:val="32"/>
            <w:szCs w:val="32"/>
          </w:rPr>
          <w:t>https://irisi.org/</w:t>
        </w:r>
      </w:hyperlink>
      <w:r w:rsidR="00FF1791" w:rsidRPr="00B31B14">
        <w:rPr>
          <w:sz w:val="32"/>
          <w:szCs w:val="32"/>
        </w:rPr>
        <w:t xml:space="preserve"> </w:t>
      </w:r>
    </w:p>
  </w:footnote>
  <w:footnote w:id="45">
    <w:p w14:paraId="72FEEF5A" w14:textId="667A9F5F" w:rsidR="00E60E08" w:rsidRPr="00B31B14" w:rsidRDefault="00E60E08">
      <w:pPr>
        <w:pStyle w:val="FootnoteText"/>
        <w:rPr>
          <w:sz w:val="32"/>
          <w:szCs w:val="32"/>
        </w:rPr>
      </w:pPr>
      <w:r w:rsidRPr="00B31B14">
        <w:rPr>
          <w:rStyle w:val="FootnoteReference"/>
          <w:sz w:val="32"/>
          <w:szCs w:val="32"/>
        </w:rPr>
        <w:footnoteRef/>
      </w:r>
      <w:r w:rsidRPr="00B31B14">
        <w:rPr>
          <w:sz w:val="32"/>
          <w:szCs w:val="32"/>
        </w:rPr>
        <w:t xml:space="preserve"> Imkaan (17 December 2018) From Survival to Sustainability </w:t>
      </w:r>
      <w:hyperlink r:id="rId32" w:history="1">
        <w:r w:rsidR="006D5774" w:rsidRPr="00B31B14">
          <w:rPr>
            <w:rStyle w:val="Hyperlink"/>
            <w:sz w:val="32"/>
            <w:szCs w:val="32"/>
          </w:rPr>
          <w:t>https://829ef90d-0745-49b2-b404-cbea85f15fda.filesusr.com/ugd/2f475d_9cab044d7d25404d85da289b70978237.pdf</w:t>
        </w:r>
      </w:hyperlink>
      <w:r w:rsidR="006D5774" w:rsidRPr="00B31B14">
        <w:rPr>
          <w:sz w:val="32"/>
          <w:szCs w:val="32"/>
        </w:rPr>
        <w:t xml:space="preserve"> </w:t>
      </w:r>
    </w:p>
  </w:footnote>
  <w:footnote w:id="46">
    <w:p w14:paraId="4B0B2ED6" w14:textId="6EF9E646" w:rsidR="00FA36A9" w:rsidRPr="00B31B14" w:rsidRDefault="00FA36A9" w:rsidP="003E382E">
      <w:pPr>
        <w:pStyle w:val="FootnoteText"/>
        <w:rPr>
          <w:sz w:val="32"/>
          <w:szCs w:val="32"/>
        </w:rPr>
      </w:pPr>
      <w:r w:rsidRPr="00B31B14">
        <w:rPr>
          <w:rStyle w:val="FootnoteReference"/>
          <w:sz w:val="32"/>
          <w:szCs w:val="32"/>
        </w:rPr>
        <w:footnoteRef/>
      </w:r>
      <w:r w:rsidRPr="00B31B14">
        <w:rPr>
          <w:sz w:val="32"/>
          <w:szCs w:val="32"/>
        </w:rPr>
        <w:t xml:space="preserve"> SafeLives (2020) A Safe Fund: costing domestic abuse provision for the whole family </w:t>
      </w:r>
      <w:hyperlink r:id="rId33" w:history="1">
        <w:r w:rsidRPr="00B31B14">
          <w:rPr>
            <w:rStyle w:val="Hyperlink"/>
            <w:sz w:val="32"/>
            <w:szCs w:val="32"/>
          </w:rPr>
          <w:t>https://safelives.org.uk/sites/default/files/A%20Safe%20Fund%20costing%20domestic%20abuse%20provision%20for%20the%20whole%20family%20in%20England%20and%20Wales_0.pdf</w:t>
        </w:r>
      </w:hyperlink>
      <w:r w:rsidRPr="00B31B14">
        <w:rPr>
          <w:sz w:val="32"/>
          <w:szCs w:val="32"/>
        </w:rPr>
        <w:t xml:space="preserve"> </w:t>
      </w:r>
    </w:p>
  </w:footnote>
  <w:footnote w:id="47">
    <w:p w14:paraId="77F4AD87" w14:textId="1D251B73"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EVAW et al. (29 September 2020) VAWG Sector call for strategic investment to end abuse </w:t>
      </w:r>
      <w:hyperlink r:id="rId34" w:history="1">
        <w:r w:rsidRPr="00B31B14">
          <w:rPr>
            <w:rStyle w:val="Hyperlink"/>
            <w:sz w:val="32"/>
            <w:szCs w:val="32"/>
          </w:rPr>
          <w:t>https://www.endviolenceagainstwomen.org.uk/vawg-sector-call-for-strategic-investment-to-end-abuse/</w:t>
        </w:r>
      </w:hyperlink>
      <w:r w:rsidRPr="00B31B14">
        <w:rPr>
          <w:sz w:val="32"/>
          <w:szCs w:val="32"/>
        </w:rPr>
        <w:t xml:space="preserve"> </w:t>
      </w:r>
    </w:p>
  </w:footnote>
  <w:footnote w:id="48">
    <w:p w14:paraId="4F0D7368" w14:textId="61D784E7"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Thiara, T., University of Warwick &amp; Roy, S., Imkaan (2020) Reclaiming Voice: Minoritised Women and Sexual Violence Key Findings, p. 51 </w:t>
      </w:r>
      <w:hyperlink r:id="rId35" w:history="1">
        <w:r w:rsidRPr="00B31B14">
          <w:rPr>
            <w:rStyle w:val="Hyperlink"/>
            <w:sz w:val="32"/>
            <w:szCs w:val="32"/>
          </w:rPr>
          <w:t>https://829ef90d-0745-49b2-b404cbea85f15fda.filesusr.com/ugd/f98049_a0f11db6395a48fbbac0e40da899dcb8.pdf</w:t>
        </w:r>
      </w:hyperlink>
      <w:r w:rsidRPr="00B31B14">
        <w:rPr>
          <w:sz w:val="32"/>
          <w:szCs w:val="32"/>
        </w:rPr>
        <w:t xml:space="preserve">  </w:t>
      </w:r>
    </w:p>
  </w:footnote>
  <w:footnote w:id="49">
    <w:p w14:paraId="3D5A4016" w14:textId="339AC273"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P.45, Ibid.</w:t>
      </w:r>
    </w:p>
  </w:footnote>
  <w:footnote w:id="50">
    <w:p w14:paraId="2FF7C0F8" w14:textId="2B439218" w:rsidR="00FA36A9" w:rsidRPr="00B31B14" w:rsidRDefault="00FA36A9" w:rsidP="00533A55">
      <w:pPr>
        <w:rPr>
          <w:rFonts w:ascii="Times New Roman" w:eastAsia="Times New Roman" w:hAnsi="Times New Roman" w:cs="Times New Roman"/>
          <w:sz w:val="32"/>
          <w:szCs w:val="32"/>
          <w:lang w:eastAsia="en-GB"/>
        </w:rPr>
      </w:pPr>
      <w:r w:rsidRPr="00B31B14">
        <w:rPr>
          <w:rStyle w:val="FootnoteReference"/>
          <w:sz w:val="32"/>
          <w:szCs w:val="32"/>
        </w:rPr>
        <w:footnoteRef/>
      </w:r>
      <w:r w:rsidRPr="00B31B14">
        <w:rPr>
          <w:sz w:val="32"/>
          <w:szCs w:val="32"/>
        </w:rPr>
        <w:t xml:space="preserve"> </w:t>
      </w:r>
      <w:r w:rsidRPr="00B31B14">
        <w:rPr>
          <w:rFonts w:ascii="Calibri" w:eastAsia="Times New Roman" w:hAnsi="Calibri" w:cs="Calibri"/>
          <w:sz w:val="32"/>
          <w:szCs w:val="32"/>
          <w:lang w:eastAsia="en-GB"/>
        </w:rPr>
        <w:t>Burman, E., Smailes, S.L. and Chantler, K. (2004) ‘“Culture” as Barrier to Service Provision and Delivery: Domestic Violence Services for Minoritised Women’, Critical Social Policy, Vol. 24 (3): 332-57</w:t>
      </w:r>
    </w:p>
  </w:footnote>
  <w:footnote w:id="51">
    <w:p w14:paraId="5B6B3272" w14:textId="7CCC49FE"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IICSA (June 2020) “People don’t talk about it: child sexual abuse in ethnic minority communities </w:t>
      </w:r>
      <w:hyperlink r:id="rId36" w:history="1">
        <w:r w:rsidRPr="00B31B14">
          <w:rPr>
            <w:rStyle w:val="Hyperlink"/>
            <w:sz w:val="32"/>
            <w:szCs w:val="32"/>
          </w:rPr>
          <w:t>https://www.iicsa.org.uk/key-documents/19530/view/ethnic-minorities-june-2020.pdf</w:t>
        </w:r>
      </w:hyperlink>
      <w:r w:rsidRPr="00B31B14">
        <w:rPr>
          <w:sz w:val="32"/>
          <w:szCs w:val="32"/>
        </w:rPr>
        <w:t xml:space="preserve"> </w:t>
      </w:r>
    </w:p>
  </w:footnote>
  <w:footnote w:id="52">
    <w:p w14:paraId="7B8D287B" w14:textId="30B89B52"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Ibid, p3.</w:t>
      </w:r>
    </w:p>
  </w:footnote>
  <w:footnote w:id="53">
    <w:p w14:paraId="715D40D8" w14:textId="0BBCE0CA" w:rsidR="00FA36A9" w:rsidRPr="00B31B14" w:rsidRDefault="00FA36A9" w:rsidP="00352F59">
      <w:pPr>
        <w:pStyle w:val="FootnoteText"/>
        <w:rPr>
          <w:sz w:val="32"/>
          <w:szCs w:val="32"/>
        </w:rPr>
      </w:pPr>
      <w:r w:rsidRPr="00B31B14">
        <w:rPr>
          <w:rStyle w:val="FootnoteReference"/>
          <w:sz w:val="32"/>
          <w:szCs w:val="32"/>
        </w:rPr>
        <w:footnoteRef/>
      </w:r>
      <w:r w:rsidRPr="00B31B14">
        <w:rPr>
          <w:sz w:val="32"/>
          <w:szCs w:val="32"/>
        </w:rPr>
        <w:t xml:space="preserve"> Home Office (December 2020) Group-based Child Sexual Exploitation Characteristics of Offending, </w:t>
      </w:r>
      <w:r w:rsidR="00290C56" w:rsidRPr="00B31B14">
        <w:rPr>
          <w:sz w:val="32"/>
          <w:szCs w:val="32"/>
        </w:rPr>
        <w:t xml:space="preserve">p.8 </w:t>
      </w:r>
      <w:hyperlink r:id="rId37" w:history="1">
        <w:r w:rsidR="00290C56" w:rsidRPr="00B31B14">
          <w:rPr>
            <w:rStyle w:val="Hyperlink"/>
            <w:sz w:val="32"/>
            <w:szCs w:val="32"/>
          </w:rPr>
          <w:t>https://assets.publishing.service.gov.uk/government/uploads/system/uploads/attachment_data/file/944206/Group-based_CSE_Paper.pdf</w:t>
        </w:r>
      </w:hyperlink>
      <w:r w:rsidRPr="00B31B14">
        <w:rPr>
          <w:sz w:val="32"/>
          <w:szCs w:val="32"/>
        </w:rPr>
        <w:t xml:space="preserve"> </w:t>
      </w:r>
    </w:p>
  </w:footnote>
  <w:footnote w:id="54">
    <w:p w14:paraId="658F05C1" w14:textId="59401B9D"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Glitch and EVAW, op cit.</w:t>
      </w:r>
    </w:p>
  </w:footnote>
  <w:footnote w:id="55">
    <w:p w14:paraId="5323E5AE" w14:textId="616E3ADF" w:rsidR="00FA36A9" w:rsidRPr="00B31B14" w:rsidRDefault="00FA36A9" w:rsidP="00533A55">
      <w:pPr>
        <w:pStyle w:val="FootnoteText"/>
        <w:rPr>
          <w:sz w:val="32"/>
          <w:szCs w:val="32"/>
        </w:rPr>
      </w:pPr>
      <w:r w:rsidRPr="00B31B14">
        <w:rPr>
          <w:rStyle w:val="FootnoteReference"/>
          <w:sz w:val="32"/>
          <w:szCs w:val="32"/>
        </w:rPr>
        <w:footnoteRef/>
      </w:r>
      <w:r w:rsidRPr="00B31B14">
        <w:rPr>
          <w:sz w:val="32"/>
          <w:szCs w:val="32"/>
        </w:rPr>
        <w:t xml:space="preserve"> UK Government (15 December 2020) Interim code of practice on online child sexual exploitation and abuse, </w:t>
      </w:r>
      <w:hyperlink r:id="rId38" w:history="1">
        <w:r w:rsidRPr="00B31B14">
          <w:rPr>
            <w:rStyle w:val="Hyperlink"/>
            <w:sz w:val="32"/>
            <w:szCs w:val="32"/>
          </w:rPr>
          <w:t>https://www.gov.uk/government/publications/online-harms-interim-codes-of-practice/interim-code-of-practice-on-online-child-sexual-exploitation-and-abuse-accessible-version</w:t>
        </w:r>
      </w:hyperlink>
      <w:r w:rsidRPr="00B31B14">
        <w:rPr>
          <w:sz w:val="32"/>
          <w:szCs w:val="32"/>
        </w:rPr>
        <w:t xml:space="preserve"> </w:t>
      </w:r>
    </w:p>
  </w:footnote>
  <w:footnote w:id="56">
    <w:p w14:paraId="6F852ED6" w14:textId="6C8C4E92"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Thiara and Roy (2020) op cit., p.46</w:t>
      </w:r>
    </w:p>
  </w:footnote>
  <w:footnote w:id="57">
    <w:p w14:paraId="23BBE033" w14:textId="4CD0F054"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ONS (8 February 2018) Sexual offences in England and Wales: year ending March 2017 </w:t>
      </w:r>
      <w:hyperlink r:id="rId39" w:history="1">
        <w:r w:rsidRPr="00B31B14">
          <w:rPr>
            <w:rStyle w:val="Hyperlink"/>
            <w:sz w:val="32"/>
            <w:szCs w:val="32"/>
          </w:rPr>
          <w:t>https://www.ons.gov.uk/peoplepopulationandcommunity/crimeandjustice/articles/sexualoffencesinenglandandwales/yearendingmarch2017</w:t>
        </w:r>
      </w:hyperlink>
      <w:r w:rsidRPr="00B31B14">
        <w:rPr>
          <w:sz w:val="32"/>
          <w:szCs w:val="32"/>
        </w:rPr>
        <w:t xml:space="preserve"> </w:t>
      </w:r>
    </w:p>
  </w:footnote>
  <w:footnote w:id="58">
    <w:p w14:paraId="464C6CF1" w14:textId="2EBE4162"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The Guardian (22 September 2020) Ngozi Fulani: 'Black women don't want to risk their abusers being murdered' </w:t>
      </w:r>
      <w:hyperlink r:id="rId40" w:history="1">
        <w:r w:rsidRPr="00B31B14">
          <w:rPr>
            <w:rStyle w:val="Hyperlink"/>
            <w:sz w:val="32"/>
            <w:szCs w:val="32"/>
          </w:rPr>
          <w:t>https://www.theguardian.com/society/2020/sep/22/ngozi-fulani-black-women-domestic-violence-police</w:t>
        </w:r>
      </w:hyperlink>
      <w:r w:rsidRPr="00B31B14">
        <w:rPr>
          <w:sz w:val="32"/>
          <w:szCs w:val="32"/>
        </w:rPr>
        <w:t xml:space="preserve"> </w:t>
      </w:r>
    </w:p>
  </w:footnote>
  <w:footnote w:id="59">
    <w:p w14:paraId="1926F5D8" w14:textId="157D7D17" w:rsidR="00FF1791" w:rsidRPr="00B31B14" w:rsidRDefault="00FF1791">
      <w:pPr>
        <w:pStyle w:val="FootnoteText"/>
        <w:rPr>
          <w:sz w:val="32"/>
          <w:szCs w:val="32"/>
        </w:rPr>
      </w:pPr>
      <w:r w:rsidRPr="00B31B14">
        <w:rPr>
          <w:rStyle w:val="FootnoteReference"/>
          <w:sz w:val="32"/>
          <w:szCs w:val="32"/>
        </w:rPr>
        <w:footnoteRef/>
      </w:r>
      <w:r w:rsidRPr="00B31B14">
        <w:rPr>
          <w:sz w:val="32"/>
          <w:szCs w:val="32"/>
        </w:rPr>
        <w:t xml:space="preserve"> EVAW, Imkaan, Rape Crisis England and Wales and Centre for Women's Justice (November 2020) The Decriminalisation of Rape: Why the justice system is failing rape survivors and what needs to change </w:t>
      </w:r>
      <w:hyperlink r:id="rId41" w:history="1">
        <w:r w:rsidRPr="00B31B14">
          <w:rPr>
            <w:rStyle w:val="Hyperlink"/>
            <w:sz w:val="32"/>
            <w:szCs w:val="32"/>
          </w:rPr>
          <w:t>https://www.endviolenceagainstwomen.org.uk/wp-content/uploads/C-Decriminalisation-of-Rape-Report-CWJ-EVAW-IMKAAN-RCEW-NOV-2020.pdf</w:t>
        </w:r>
      </w:hyperlink>
      <w:r w:rsidRPr="00B31B14">
        <w:rPr>
          <w:sz w:val="32"/>
          <w:szCs w:val="32"/>
        </w:rPr>
        <w:t xml:space="preserve"> </w:t>
      </w:r>
    </w:p>
  </w:footnote>
  <w:footnote w:id="60">
    <w:p w14:paraId="52535A5B" w14:textId="77777777" w:rsidR="001C2CD5" w:rsidRPr="00B31B14" w:rsidRDefault="001C2CD5" w:rsidP="001C2CD5">
      <w:pPr>
        <w:pStyle w:val="FootnoteText"/>
        <w:rPr>
          <w:sz w:val="32"/>
          <w:szCs w:val="32"/>
        </w:rPr>
      </w:pPr>
      <w:r w:rsidRPr="00B31B14">
        <w:rPr>
          <w:rStyle w:val="FootnoteReference"/>
          <w:sz w:val="32"/>
          <w:szCs w:val="32"/>
        </w:rPr>
        <w:footnoteRef/>
      </w:r>
      <w:r w:rsidRPr="00B31B14">
        <w:rPr>
          <w:sz w:val="32"/>
          <w:szCs w:val="32"/>
        </w:rPr>
        <w:t xml:space="preserve"> Women’s Aid (2020) Nowhere To Turn 2020 </w:t>
      </w:r>
      <w:hyperlink r:id="rId42" w:history="1">
        <w:r w:rsidRPr="00B31B14">
          <w:rPr>
            <w:rStyle w:val="Hyperlink"/>
            <w:sz w:val="32"/>
            <w:szCs w:val="32"/>
          </w:rPr>
          <w:t>https://www.womensaid.org.uk/wp-content/uploads/2020/06/Nowhere-to-Turn-2020.pdf</w:t>
        </w:r>
      </w:hyperlink>
      <w:r w:rsidRPr="00B31B14">
        <w:rPr>
          <w:sz w:val="32"/>
          <w:szCs w:val="32"/>
        </w:rPr>
        <w:t xml:space="preserve"> </w:t>
      </w:r>
    </w:p>
  </w:footnote>
  <w:footnote w:id="61">
    <w:p w14:paraId="7ACC36EF" w14:textId="07C398B1" w:rsidR="00FA36A9" w:rsidRPr="00B31B14" w:rsidRDefault="00FA36A9" w:rsidP="00DC007D">
      <w:pPr>
        <w:rPr>
          <w:rFonts w:ascii="Calibri" w:eastAsia="Times New Roman" w:hAnsi="Calibri" w:cs="Calibri"/>
          <w:sz w:val="32"/>
          <w:szCs w:val="32"/>
          <w:lang w:eastAsia="en-GB"/>
        </w:rPr>
      </w:pPr>
      <w:r w:rsidRPr="00B31B14">
        <w:rPr>
          <w:rStyle w:val="FootnoteReference"/>
          <w:rFonts w:ascii="Calibri" w:hAnsi="Calibri" w:cs="Calibri"/>
          <w:sz w:val="32"/>
          <w:szCs w:val="32"/>
        </w:rPr>
        <w:footnoteRef/>
      </w:r>
      <w:r w:rsidRPr="00B31B14">
        <w:rPr>
          <w:rFonts w:ascii="Calibri" w:hAnsi="Calibri" w:cs="Calibri"/>
          <w:sz w:val="32"/>
          <w:szCs w:val="32"/>
        </w:rPr>
        <w:t xml:space="preserve"> </w:t>
      </w:r>
      <w:r w:rsidRPr="00B31B14">
        <w:rPr>
          <w:rFonts w:ascii="Calibri" w:eastAsia="Times New Roman" w:hAnsi="Calibri" w:cs="Calibri"/>
          <w:sz w:val="32"/>
          <w:szCs w:val="32"/>
          <w:lang w:eastAsia="en-GB"/>
        </w:rPr>
        <w:t>Women’s Aid (2020) The Domestic Abuse Report 2020: The Annual Audit, Bristol: Women’s Aid.</w:t>
      </w:r>
    </w:p>
  </w:footnote>
  <w:footnote w:id="62">
    <w:p w14:paraId="23A7A2EA" w14:textId="2A4627E9" w:rsidR="00FA36A9" w:rsidRPr="00B31B14" w:rsidRDefault="00FA36A9">
      <w:pPr>
        <w:pStyle w:val="FootnoteText"/>
        <w:rPr>
          <w:sz w:val="32"/>
          <w:szCs w:val="32"/>
        </w:rPr>
      </w:pPr>
      <w:r w:rsidRPr="00B31B14">
        <w:rPr>
          <w:rStyle w:val="FootnoteReference"/>
          <w:sz w:val="32"/>
          <w:szCs w:val="32"/>
        </w:rPr>
        <w:footnoteRef/>
      </w:r>
      <w:r w:rsidRPr="00B31B14">
        <w:rPr>
          <w:sz w:val="32"/>
          <w:szCs w:val="32"/>
        </w:rPr>
        <w:t xml:space="preserve"> King’s College London and Latin American Women’s Rights Service (May 2019) </w:t>
      </w:r>
      <w:hyperlink r:id="rId43" w:history="1">
        <w:r w:rsidRPr="00B31B14">
          <w:rPr>
            <w:rStyle w:val="Hyperlink"/>
            <w:sz w:val="32"/>
            <w:szCs w:val="32"/>
          </w:rPr>
          <w:t>https://stepupmigrantwomenuk.files.wordpress.com/2019/05/the-right-to-be-believed-full-version-updated.pdf</w:t>
        </w:r>
      </w:hyperlink>
      <w:r w:rsidRPr="00B31B14">
        <w:rPr>
          <w:sz w:val="32"/>
          <w:szCs w:val="32"/>
        </w:rPr>
        <w:t xml:space="preserve"> </w:t>
      </w:r>
    </w:p>
  </w:footnote>
  <w:footnote w:id="63">
    <w:p w14:paraId="305F3850" w14:textId="5248008E" w:rsidR="00FA36A9" w:rsidRPr="00B31B14" w:rsidRDefault="00FA36A9" w:rsidP="00DC007D">
      <w:pPr>
        <w:pStyle w:val="FootnoteText"/>
        <w:rPr>
          <w:sz w:val="32"/>
          <w:szCs w:val="32"/>
        </w:rPr>
      </w:pPr>
      <w:r w:rsidRPr="00B31B14">
        <w:rPr>
          <w:rStyle w:val="FootnoteReference"/>
          <w:sz w:val="32"/>
          <w:szCs w:val="32"/>
        </w:rPr>
        <w:footnoteRef/>
      </w:r>
      <w:r w:rsidRPr="00B31B14">
        <w:rPr>
          <w:sz w:val="32"/>
          <w:szCs w:val="32"/>
        </w:rPr>
        <w:t xml:space="preserve"> HM Inspectorate of Constabulary and Fire &amp; Rescue Services (December 2020) Safe to share? Report on Liberty and Southall Black Sisters’ super-complaint on policing and immigration status </w:t>
      </w:r>
      <w:hyperlink r:id="rId44" w:history="1">
        <w:r w:rsidRPr="00B31B14">
          <w:rPr>
            <w:rStyle w:val="Hyperlink"/>
            <w:sz w:val="32"/>
            <w:szCs w:val="32"/>
          </w:rPr>
          <w:t>https://assets.publishing.service.gov.uk/government/uploads/system/uploads/attachment_data/file/945314/safe-to-share-liberty-southall-black-sisters-super-complaint-policing-immigration-status.pdf</w:t>
        </w:r>
      </w:hyperlink>
      <w:r w:rsidRPr="00B31B14">
        <w:rPr>
          <w:sz w:val="32"/>
          <w:szCs w:val="32"/>
        </w:rPr>
        <w:t xml:space="preserve"> </w:t>
      </w:r>
    </w:p>
  </w:footnote>
  <w:footnote w:id="64">
    <w:p w14:paraId="29012007" w14:textId="2DD50FA2" w:rsidR="00FA36A9" w:rsidRPr="00B31B14" w:rsidRDefault="00FA36A9" w:rsidP="00A9759D">
      <w:pPr>
        <w:pStyle w:val="FootnoteText"/>
        <w:rPr>
          <w:sz w:val="32"/>
          <w:szCs w:val="32"/>
        </w:rPr>
      </w:pPr>
      <w:r w:rsidRPr="00B31B14">
        <w:rPr>
          <w:rStyle w:val="FootnoteReference"/>
          <w:sz w:val="32"/>
          <w:szCs w:val="32"/>
        </w:rPr>
        <w:footnoteRef/>
      </w:r>
      <w:r w:rsidRPr="00B31B14">
        <w:rPr>
          <w:sz w:val="32"/>
          <w:szCs w:val="32"/>
        </w:rPr>
        <w:t xml:space="preserve"> Home Office (October 2020) Ratification of the Council of Europe Convention on Combating Violence Against Women and Girls and Domestic Violence (Istanbul Convention) – 2020 Report on Progress </w:t>
      </w:r>
      <w:hyperlink r:id="rId45" w:history="1">
        <w:r w:rsidRPr="00B31B14">
          <w:rPr>
            <w:rStyle w:val="Hyperlink"/>
            <w:sz w:val="32"/>
            <w:szCs w:val="32"/>
          </w:rPr>
          <w:t>https://assets.publishing.service.gov.uk/government/uploads/system/uploads/attachment_data/file/928764/CCS001_CCS1020331858-003_Istanbul_Convention_Progress_Report_E-Laying.pdf</w:t>
        </w:r>
      </w:hyperlink>
      <w:r w:rsidRPr="00B31B14">
        <w:rPr>
          <w:sz w:val="32"/>
          <w:szCs w:val="32"/>
        </w:rPr>
        <w:t xml:space="preserve"> </w:t>
      </w:r>
    </w:p>
  </w:footnote>
  <w:footnote w:id="65">
    <w:p w14:paraId="066D6A07" w14:textId="222EA277" w:rsidR="00323977" w:rsidRPr="00B31B14" w:rsidRDefault="00323977">
      <w:pPr>
        <w:pStyle w:val="FootnoteText"/>
        <w:rPr>
          <w:sz w:val="32"/>
          <w:szCs w:val="32"/>
        </w:rPr>
      </w:pPr>
      <w:r w:rsidRPr="00B31B14">
        <w:rPr>
          <w:rStyle w:val="FootnoteReference"/>
          <w:sz w:val="32"/>
          <w:szCs w:val="32"/>
        </w:rPr>
        <w:footnoteRef/>
      </w:r>
      <w:r w:rsidRPr="00B31B14">
        <w:rPr>
          <w:sz w:val="32"/>
          <w:szCs w:val="32"/>
        </w:rPr>
        <w:t xml:space="preserve"> Thiara and Roy (2020) op.cit. p.61.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4790C"/>
    <w:multiLevelType w:val="hybridMultilevel"/>
    <w:tmpl w:val="10D2B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0AA2A7E"/>
    <w:multiLevelType w:val="multilevel"/>
    <w:tmpl w:val="CFE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98"/>
    <w:rsid w:val="00000BBA"/>
    <w:rsid w:val="00011DC6"/>
    <w:rsid w:val="0002676D"/>
    <w:rsid w:val="000300EA"/>
    <w:rsid w:val="00042A59"/>
    <w:rsid w:val="00047F7C"/>
    <w:rsid w:val="00070FAC"/>
    <w:rsid w:val="000C5AC3"/>
    <w:rsid w:val="000D43F9"/>
    <w:rsid w:val="000E45BF"/>
    <w:rsid w:val="000E71D5"/>
    <w:rsid w:val="000F677F"/>
    <w:rsid w:val="000F6E37"/>
    <w:rsid w:val="00111519"/>
    <w:rsid w:val="001473AF"/>
    <w:rsid w:val="00156E89"/>
    <w:rsid w:val="0017625F"/>
    <w:rsid w:val="001C2CD5"/>
    <w:rsid w:val="001C3356"/>
    <w:rsid w:val="001E4B56"/>
    <w:rsid w:val="001E50CE"/>
    <w:rsid w:val="001E5C6D"/>
    <w:rsid w:val="001F7571"/>
    <w:rsid w:val="00221598"/>
    <w:rsid w:val="00265685"/>
    <w:rsid w:val="00267688"/>
    <w:rsid w:val="00270881"/>
    <w:rsid w:val="002715FD"/>
    <w:rsid w:val="00290C56"/>
    <w:rsid w:val="002961A3"/>
    <w:rsid w:val="002A12F5"/>
    <w:rsid w:val="002B0D34"/>
    <w:rsid w:val="002B1ECF"/>
    <w:rsid w:val="002B1FD8"/>
    <w:rsid w:val="002D25D4"/>
    <w:rsid w:val="002F1F2E"/>
    <w:rsid w:val="00323977"/>
    <w:rsid w:val="003456C6"/>
    <w:rsid w:val="00352F59"/>
    <w:rsid w:val="0035395D"/>
    <w:rsid w:val="0035450E"/>
    <w:rsid w:val="00371EE2"/>
    <w:rsid w:val="003842AD"/>
    <w:rsid w:val="00387C4E"/>
    <w:rsid w:val="003A46D8"/>
    <w:rsid w:val="003C2D4E"/>
    <w:rsid w:val="003C397C"/>
    <w:rsid w:val="003C6216"/>
    <w:rsid w:val="003C68D4"/>
    <w:rsid w:val="003E20FF"/>
    <w:rsid w:val="003E2D4E"/>
    <w:rsid w:val="003E382E"/>
    <w:rsid w:val="00402BA7"/>
    <w:rsid w:val="00410A51"/>
    <w:rsid w:val="004153F9"/>
    <w:rsid w:val="004355E3"/>
    <w:rsid w:val="00442762"/>
    <w:rsid w:val="004427F1"/>
    <w:rsid w:val="00462306"/>
    <w:rsid w:val="00464396"/>
    <w:rsid w:val="00466D68"/>
    <w:rsid w:val="00467202"/>
    <w:rsid w:val="004748DA"/>
    <w:rsid w:val="004864B8"/>
    <w:rsid w:val="00496F82"/>
    <w:rsid w:val="004D472F"/>
    <w:rsid w:val="004E60A3"/>
    <w:rsid w:val="004F2115"/>
    <w:rsid w:val="0053036A"/>
    <w:rsid w:val="00533A55"/>
    <w:rsid w:val="00563FC4"/>
    <w:rsid w:val="00571CEB"/>
    <w:rsid w:val="00587D81"/>
    <w:rsid w:val="005D143A"/>
    <w:rsid w:val="005F4712"/>
    <w:rsid w:val="00656C95"/>
    <w:rsid w:val="006B5CFC"/>
    <w:rsid w:val="006B6C9C"/>
    <w:rsid w:val="006C7157"/>
    <w:rsid w:val="006D0A93"/>
    <w:rsid w:val="006D5774"/>
    <w:rsid w:val="006E4FF3"/>
    <w:rsid w:val="007126D3"/>
    <w:rsid w:val="00786544"/>
    <w:rsid w:val="007A2AA8"/>
    <w:rsid w:val="007A5BF2"/>
    <w:rsid w:val="008036B2"/>
    <w:rsid w:val="00814558"/>
    <w:rsid w:val="00814F7D"/>
    <w:rsid w:val="008170EC"/>
    <w:rsid w:val="008245F0"/>
    <w:rsid w:val="00825693"/>
    <w:rsid w:val="00881A8D"/>
    <w:rsid w:val="008917E5"/>
    <w:rsid w:val="00896338"/>
    <w:rsid w:val="008B7AA7"/>
    <w:rsid w:val="008D6908"/>
    <w:rsid w:val="008E2F72"/>
    <w:rsid w:val="008E530E"/>
    <w:rsid w:val="00915507"/>
    <w:rsid w:val="00943EC5"/>
    <w:rsid w:val="009B483F"/>
    <w:rsid w:val="009B796E"/>
    <w:rsid w:val="009C08E1"/>
    <w:rsid w:val="009F6A3F"/>
    <w:rsid w:val="00A324D2"/>
    <w:rsid w:val="00A5242C"/>
    <w:rsid w:val="00A55BF0"/>
    <w:rsid w:val="00A57560"/>
    <w:rsid w:val="00A614F3"/>
    <w:rsid w:val="00A752B9"/>
    <w:rsid w:val="00A8207B"/>
    <w:rsid w:val="00A9759D"/>
    <w:rsid w:val="00AA0BF6"/>
    <w:rsid w:val="00AE349E"/>
    <w:rsid w:val="00B13C63"/>
    <w:rsid w:val="00B31B14"/>
    <w:rsid w:val="00B73B41"/>
    <w:rsid w:val="00B907CA"/>
    <w:rsid w:val="00B966B0"/>
    <w:rsid w:val="00BA2CE2"/>
    <w:rsid w:val="00BD133E"/>
    <w:rsid w:val="00BD498D"/>
    <w:rsid w:val="00BE31A0"/>
    <w:rsid w:val="00BF1BA9"/>
    <w:rsid w:val="00C03BF8"/>
    <w:rsid w:val="00C16C1A"/>
    <w:rsid w:val="00C2549C"/>
    <w:rsid w:val="00C32480"/>
    <w:rsid w:val="00C3276C"/>
    <w:rsid w:val="00C41410"/>
    <w:rsid w:val="00C77B8E"/>
    <w:rsid w:val="00C95C6B"/>
    <w:rsid w:val="00C9674F"/>
    <w:rsid w:val="00CA740A"/>
    <w:rsid w:val="00CB1ACF"/>
    <w:rsid w:val="00CB46CE"/>
    <w:rsid w:val="00CB7043"/>
    <w:rsid w:val="00CE1E7C"/>
    <w:rsid w:val="00CF695D"/>
    <w:rsid w:val="00D027AF"/>
    <w:rsid w:val="00D11B03"/>
    <w:rsid w:val="00D2140D"/>
    <w:rsid w:val="00D35D60"/>
    <w:rsid w:val="00D61CF5"/>
    <w:rsid w:val="00D70570"/>
    <w:rsid w:val="00D82F52"/>
    <w:rsid w:val="00D9046C"/>
    <w:rsid w:val="00DA5F8D"/>
    <w:rsid w:val="00DC007D"/>
    <w:rsid w:val="00DC60AB"/>
    <w:rsid w:val="00DE512C"/>
    <w:rsid w:val="00DE689E"/>
    <w:rsid w:val="00DF3557"/>
    <w:rsid w:val="00E0563C"/>
    <w:rsid w:val="00E10E44"/>
    <w:rsid w:val="00E60E08"/>
    <w:rsid w:val="00E9587F"/>
    <w:rsid w:val="00EA7584"/>
    <w:rsid w:val="00EC0B6A"/>
    <w:rsid w:val="00EC7B1D"/>
    <w:rsid w:val="00ED26DC"/>
    <w:rsid w:val="00EE42CC"/>
    <w:rsid w:val="00F46C00"/>
    <w:rsid w:val="00F53725"/>
    <w:rsid w:val="00F62FB1"/>
    <w:rsid w:val="00F6491F"/>
    <w:rsid w:val="00FA36A9"/>
    <w:rsid w:val="00FD60F2"/>
    <w:rsid w:val="00FF179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A09A"/>
  <w15:chartTrackingRefBased/>
  <w15:docId w15:val="{77D26CAA-EAA8-A94E-8AFA-FDBCAB83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BA9"/>
    <w:pPr>
      <w:outlineLvl w:val="0"/>
    </w:pPr>
    <w:rPr>
      <w:b/>
      <w:bCs/>
      <w:sz w:val="40"/>
      <w:szCs w:val="40"/>
    </w:rPr>
  </w:style>
  <w:style w:type="paragraph" w:styleId="Heading3">
    <w:name w:val="heading 3"/>
    <w:basedOn w:val="Normal"/>
    <w:next w:val="Normal"/>
    <w:link w:val="Heading3Char"/>
    <w:uiPriority w:val="9"/>
    <w:semiHidden/>
    <w:unhideWhenUsed/>
    <w:qFormat/>
    <w:rsid w:val="00C16C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598"/>
    <w:rPr>
      <w:color w:val="0563C1" w:themeColor="hyperlink"/>
      <w:u w:val="single"/>
    </w:rPr>
  </w:style>
  <w:style w:type="character" w:customStyle="1" w:styleId="UnresolvedMention">
    <w:name w:val="Unresolved Mention"/>
    <w:basedOn w:val="DefaultParagraphFont"/>
    <w:uiPriority w:val="99"/>
    <w:semiHidden/>
    <w:unhideWhenUsed/>
    <w:rsid w:val="00221598"/>
    <w:rPr>
      <w:color w:val="605E5C"/>
      <w:shd w:val="clear" w:color="auto" w:fill="E1DFDD"/>
    </w:rPr>
  </w:style>
  <w:style w:type="character" w:styleId="CommentReference">
    <w:name w:val="annotation reference"/>
    <w:basedOn w:val="DefaultParagraphFont"/>
    <w:uiPriority w:val="99"/>
    <w:semiHidden/>
    <w:unhideWhenUsed/>
    <w:rsid w:val="00221598"/>
    <w:rPr>
      <w:sz w:val="16"/>
      <w:szCs w:val="16"/>
    </w:rPr>
  </w:style>
  <w:style w:type="paragraph" w:styleId="CommentText">
    <w:name w:val="annotation text"/>
    <w:basedOn w:val="Normal"/>
    <w:link w:val="CommentTextChar"/>
    <w:uiPriority w:val="99"/>
    <w:semiHidden/>
    <w:unhideWhenUsed/>
    <w:rsid w:val="00221598"/>
    <w:rPr>
      <w:sz w:val="20"/>
      <w:szCs w:val="20"/>
    </w:rPr>
  </w:style>
  <w:style w:type="character" w:customStyle="1" w:styleId="CommentTextChar">
    <w:name w:val="Comment Text Char"/>
    <w:basedOn w:val="DefaultParagraphFont"/>
    <w:link w:val="CommentText"/>
    <w:uiPriority w:val="99"/>
    <w:semiHidden/>
    <w:rsid w:val="00221598"/>
    <w:rPr>
      <w:sz w:val="20"/>
      <w:szCs w:val="20"/>
    </w:rPr>
  </w:style>
  <w:style w:type="paragraph" w:styleId="CommentSubject">
    <w:name w:val="annotation subject"/>
    <w:basedOn w:val="CommentText"/>
    <w:next w:val="CommentText"/>
    <w:link w:val="CommentSubjectChar"/>
    <w:uiPriority w:val="99"/>
    <w:semiHidden/>
    <w:unhideWhenUsed/>
    <w:rsid w:val="00221598"/>
    <w:rPr>
      <w:b/>
      <w:bCs/>
    </w:rPr>
  </w:style>
  <w:style w:type="character" w:customStyle="1" w:styleId="CommentSubjectChar">
    <w:name w:val="Comment Subject Char"/>
    <w:basedOn w:val="CommentTextChar"/>
    <w:link w:val="CommentSubject"/>
    <w:uiPriority w:val="99"/>
    <w:semiHidden/>
    <w:rsid w:val="00221598"/>
    <w:rPr>
      <w:b/>
      <w:bCs/>
      <w:sz w:val="20"/>
      <w:szCs w:val="20"/>
    </w:rPr>
  </w:style>
  <w:style w:type="paragraph" w:styleId="BalloonText">
    <w:name w:val="Balloon Text"/>
    <w:basedOn w:val="Normal"/>
    <w:link w:val="BalloonTextChar"/>
    <w:uiPriority w:val="99"/>
    <w:semiHidden/>
    <w:unhideWhenUsed/>
    <w:rsid w:val="002215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1598"/>
    <w:rPr>
      <w:rFonts w:ascii="Times New Roman" w:hAnsi="Times New Roman" w:cs="Times New Roman"/>
      <w:sz w:val="18"/>
      <w:szCs w:val="18"/>
    </w:rPr>
  </w:style>
  <w:style w:type="paragraph" w:styleId="FootnoteText">
    <w:name w:val="footnote text"/>
    <w:basedOn w:val="Normal"/>
    <w:link w:val="FootnoteTextChar"/>
    <w:uiPriority w:val="99"/>
    <w:unhideWhenUsed/>
    <w:rsid w:val="008E530E"/>
    <w:rPr>
      <w:sz w:val="20"/>
      <w:szCs w:val="20"/>
    </w:rPr>
  </w:style>
  <w:style w:type="character" w:customStyle="1" w:styleId="FootnoteTextChar">
    <w:name w:val="Footnote Text Char"/>
    <w:basedOn w:val="DefaultParagraphFont"/>
    <w:link w:val="FootnoteText"/>
    <w:uiPriority w:val="99"/>
    <w:rsid w:val="008E530E"/>
    <w:rPr>
      <w:sz w:val="20"/>
      <w:szCs w:val="20"/>
    </w:rPr>
  </w:style>
  <w:style w:type="character" w:styleId="FootnoteReference">
    <w:name w:val="footnote reference"/>
    <w:basedOn w:val="DefaultParagraphFont"/>
    <w:uiPriority w:val="99"/>
    <w:semiHidden/>
    <w:unhideWhenUsed/>
    <w:rsid w:val="008E530E"/>
    <w:rPr>
      <w:vertAlign w:val="superscript"/>
    </w:rPr>
  </w:style>
  <w:style w:type="paragraph" w:styleId="Footer">
    <w:name w:val="footer"/>
    <w:basedOn w:val="Normal"/>
    <w:link w:val="FooterChar"/>
    <w:uiPriority w:val="99"/>
    <w:unhideWhenUsed/>
    <w:rsid w:val="00D35D60"/>
    <w:pPr>
      <w:tabs>
        <w:tab w:val="center" w:pos="4513"/>
        <w:tab w:val="right" w:pos="9026"/>
      </w:tabs>
    </w:pPr>
  </w:style>
  <w:style w:type="character" w:customStyle="1" w:styleId="FooterChar">
    <w:name w:val="Footer Char"/>
    <w:basedOn w:val="DefaultParagraphFont"/>
    <w:link w:val="Footer"/>
    <w:uiPriority w:val="99"/>
    <w:rsid w:val="00D35D60"/>
  </w:style>
  <w:style w:type="character" w:styleId="PageNumber">
    <w:name w:val="page number"/>
    <w:basedOn w:val="DefaultParagraphFont"/>
    <w:uiPriority w:val="99"/>
    <w:semiHidden/>
    <w:unhideWhenUsed/>
    <w:rsid w:val="00D35D60"/>
  </w:style>
  <w:style w:type="character" w:styleId="FollowedHyperlink">
    <w:name w:val="FollowedHyperlink"/>
    <w:basedOn w:val="DefaultParagraphFont"/>
    <w:uiPriority w:val="99"/>
    <w:semiHidden/>
    <w:unhideWhenUsed/>
    <w:rsid w:val="003E382E"/>
    <w:rPr>
      <w:color w:val="954F72" w:themeColor="followedHyperlink"/>
      <w:u w:val="single"/>
    </w:rPr>
  </w:style>
  <w:style w:type="paragraph" w:styleId="ListParagraph">
    <w:name w:val="List Paragraph"/>
    <w:basedOn w:val="Normal"/>
    <w:uiPriority w:val="34"/>
    <w:qFormat/>
    <w:rsid w:val="00C3276C"/>
    <w:pPr>
      <w:ind w:left="720"/>
      <w:contextualSpacing/>
    </w:pPr>
  </w:style>
  <w:style w:type="character" w:customStyle="1" w:styleId="Heading3Char">
    <w:name w:val="Heading 3 Char"/>
    <w:basedOn w:val="DefaultParagraphFont"/>
    <w:link w:val="Heading3"/>
    <w:uiPriority w:val="9"/>
    <w:semiHidden/>
    <w:rsid w:val="00C16C1A"/>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BF1BA9"/>
    <w:rPr>
      <w:b/>
      <w:bCs/>
      <w:sz w:val="40"/>
      <w:szCs w:val="40"/>
    </w:rPr>
  </w:style>
  <w:style w:type="table" w:styleId="TableGrid">
    <w:name w:val="Table Grid"/>
    <w:basedOn w:val="TableNormal"/>
    <w:uiPriority w:val="39"/>
    <w:rsid w:val="008B7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12"/>
    <w:pPr>
      <w:tabs>
        <w:tab w:val="center" w:pos="4513"/>
        <w:tab w:val="right" w:pos="9026"/>
      </w:tabs>
    </w:pPr>
  </w:style>
  <w:style w:type="character" w:customStyle="1" w:styleId="HeaderChar">
    <w:name w:val="Header Char"/>
    <w:basedOn w:val="DefaultParagraphFont"/>
    <w:link w:val="Header"/>
    <w:uiPriority w:val="99"/>
    <w:rsid w:val="005F4712"/>
  </w:style>
  <w:style w:type="paragraph" w:styleId="TOC1">
    <w:name w:val="toc 1"/>
    <w:basedOn w:val="Normal"/>
    <w:next w:val="Normal"/>
    <w:autoRedefine/>
    <w:uiPriority w:val="39"/>
    <w:unhideWhenUsed/>
    <w:rsid w:val="00BF1BA9"/>
    <w:pPr>
      <w:spacing w:after="100"/>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479">
      <w:bodyDiv w:val="1"/>
      <w:marLeft w:val="0"/>
      <w:marRight w:val="0"/>
      <w:marTop w:val="0"/>
      <w:marBottom w:val="0"/>
      <w:divBdr>
        <w:top w:val="none" w:sz="0" w:space="0" w:color="auto"/>
        <w:left w:val="none" w:sz="0" w:space="0" w:color="auto"/>
        <w:bottom w:val="none" w:sz="0" w:space="0" w:color="auto"/>
        <w:right w:val="none" w:sz="0" w:space="0" w:color="auto"/>
      </w:divBdr>
    </w:div>
    <w:div w:id="46540064">
      <w:bodyDiv w:val="1"/>
      <w:marLeft w:val="0"/>
      <w:marRight w:val="0"/>
      <w:marTop w:val="0"/>
      <w:marBottom w:val="0"/>
      <w:divBdr>
        <w:top w:val="none" w:sz="0" w:space="0" w:color="auto"/>
        <w:left w:val="none" w:sz="0" w:space="0" w:color="auto"/>
        <w:bottom w:val="none" w:sz="0" w:space="0" w:color="auto"/>
        <w:right w:val="none" w:sz="0" w:space="0" w:color="auto"/>
      </w:divBdr>
    </w:div>
    <w:div w:id="55248400">
      <w:bodyDiv w:val="1"/>
      <w:marLeft w:val="0"/>
      <w:marRight w:val="0"/>
      <w:marTop w:val="0"/>
      <w:marBottom w:val="0"/>
      <w:divBdr>
        <w:top w:val="none" w:sz="0" w:space="0" w:color="auto"/>
        <w:left w:val="none" w:sz="0" w:space="0" w:color="auto"/>
        <w:bottom w:val="none" w:sz="0" w:space="0" w:color="auto"/>
        <w:right w:val="none" w:sz="0" w:space="0" w:color="auto"/>
      </w:divBdr>
    </w:div>
    <w:div w:id="61946907">
      <w:bodyDiv w:val="1"/>
      <w:marLeft w:val="0"/>
      <w:marRight w:val="0"/>
      <w:marTop w:val="0"/>
      <w:marBottom w:val="0"/>
      <w:divBdr>
        <w:top w:val="none" w:sz="0" w:space="0" w:color="auto"/>
        <w:left w:val="none" w:sz="0" w:space="0" w:color="auto"/>
        <w:bottom w:val="none" w:sz="0" w:space="0" w:color="auto"/>
        <w:right w:val="none" w:sz="0" w:space="0" w:color="auto"/>
      </w:divBdr>
    </w:div>
    <w:div w:id="108664241">
      <w:bodyDiv w:val="1"/>
      <w:marLeft w:val="0"/>
      <w:marRight w:val="0"/>
      <w:marTop w:val="0"/>
      <w:marBottom w:val="0"/>
      <w:divBdr>
        <w:top w:val="none" w:sz="0" w:space="0" w:color="auto"/>
        <w:left w:val="none" w:sz="0" w:space="0" w:color="auto"/>
        <w:bottom w:val="none" w:sz="0" w:space="0" w:color="auto"/>
        <w:right w:val="none" w:sz="0" w:space="0" w:color="auto"/>
      </w:divBdr>
    </w:div>
    <w:div w:id="110588030">
      <w:bodyDiv w:val="1"/>
      <w:marLeft w:val="0"/>
      <w:marRight w:val="0"/>
      <w:marTop w:val="0"/>
      <w:marBottom w:val="0"/>
      <w:divBdr>
        <w:top w:val="none" w:sz="0" w:space="0" w:color="auto"/>
        <w:left w:val="none" w:sz="0" w:space="0" w:color="auto"/>
        <w:bottom w:val="none" w:sz="0" w:space="0" w:color="auto"/>
        <w:right w:val="none" w:sz="0" w:space="0" w:color="auto"/>
      </w:divBdr>
    </w:div>
    <w:div w:id="122696698">
      <w:bodyDiv w:val="1"/>
      <w:marLeft w:val="0"/>
      <w:marRight w:val="0"/>
      <w:marTop w:val="0"/>
      <w:marBottom w:val="0"/>
      <w:divBdr>
        <w:top w:val="none" w:sz="0" w:space="0" w:color="auto"/>
        <w:left w:val="none" w:sz="0" w:space="0" w:color="auto"/>
        <w:bottom w:val="none" w:sz="0" w:space="0" w:color="auto"/>
        <w:right w:val="none" w:sz="0" w:space="0" w:color="auto"/>
      </w:divBdr>
    </w:div>
    <w:div w:id="127015906">
      <w:bodyDiv w:val="1"/>
      <w:marLeft w:val="0"/>
      <w:marRight w:val="0"/>
      <w:marTop w:val="0"/>
      <w:marBottom w:val="0"/>
      <w:divBdr>
        <w:top w:val="none" w:sz="0" w:space="0" w:color="auto"/>
        <w:left w:val="none" w:sz="0" w:space="0" w:color="auto"/>
        <w:bottom w:val="none" w:sz="0" w:space="0" w:color="auto"/>
        <w:right w:val="none" w:sz="0" w:space="0" w:color="auto"/>
      </w:divBdr>
    </w:div>
    <w:div w:id="130488315">
      <w:bodyDiv w:val="1"/>
      <w:marLeft w:val="0"/>
      <w:marRight w:val="0"/>
      <w:marTop w:val="0"/>
      <w:marBottom w:val="0"/>
      <w:divBdr>
        <w:top w:val="none" w:sz="0" w:space="0" w:color="auto"/>
        <w:left w:val="none" w:sz="0" w:space="0" w:color="auto"/>
        <w:bottom w:val="none" w:sz="0" w:space="0" w:color="auto"/>
        <w:right w:val="none" w:sz="0" w:space="0" w:color="auto"/>
      </w:divBdr>
    </w:div>
    <w:div w:id="140312637">
      <w:bodyDiv w:val="1"/>
      <w:marLeft w:val="0"/>
      <w:marRight w:val="0"/>
      <w:marTop w:val="0"/>
      <w:marBottom w:val="0"/>
      <w:divBdr>
        <w:top w:val="none" w:sz="0" w:space="0" w:color="auto"/>
        <w:left w:val="none" w:sz="0" w:space="0" w:color="auto"/>
        <w:bottom w:val="none" w:sz="0" w:space="0" w:color="auto"/>
        <w:right w:val="none" w:sz="0" w:space="0" w:color="auto"/>
      </w:divBdr>
    </w:div>
    <w:div w:id="146672989">
      <w:bodyDiv w:val="1"/>
      <w:marLeft w:val="0"/>
      <w:marRight w:val="0"/>
      <w:marTop w:val="0"/>
      <w:marBottom w:val="0"/>
      <w:divBdr>
        <w:top w:val="none" w:sz="0" w:space="0" w:color="auto"/>
        <w:left w:val="none" w:sz="0" w:space="0" w:color="auto"/>
        <w:bottom w:val="none" w:sz="0" w:space="0" w:color="auto"/>
        <w:right w:val="none" w:sz="0" w:space="0" w:color="auto"/>
      </w:divBdr>
    </w:div>
    <w:div w:id="156502870">
      <w:bodyDiv w:val="1"/>
      <w:marLeft w:val="0"/>
      <w:marRight w:val="0"/>
      <w:marTop w:val="0"/>
      <w:marBottom w:val="0"/>
      <w:divBdr>
        <w:top w:val="none" w:sz="0" w:space="0" w:color="auto"/>
        <w:left w:val="none" w:sz="0" w:space="0" w:color="auto"/>
        <w:bottom w:val="none" w:sz="0" w:space="0" w:color="auto"/>
        <w:right w:val="none" w:sz="0" w:space="0" w:color="auto"/>
      </w:divBdr>
    </w:div>
    <w:div w:id="173039390">
      <w:bodyDiv w:val="1"/>
      <w:marLeft w:val="0"/>
      <w:marRight w:val="0"/>
      <w:marTop w:val="0"/>
      <w:marBottom w:val="0"/>
      <w:divBdr>
        <w:top w:val="none" w:sz="0" w:space="0" w:color="auto"/>
        <w:left w:val="none" w:sz="0" w:space="0" w:color="auto"/>
        <w:bottom w:val="none" w:sz="0" w:space="0" w:color="auto"/>
        <w:right w:val="none" w:sz="0" w:space="0" w:color="auto"/>
      </w:divBdr>
    </w:div>
    <w:div w:id="212081742">
      <w:bodyDiv w:val="1"/>
      <w:marLeft w:val="0"/>
      <w:marRight w:val="0"/>
      <w:marTop w:val="0"/>
      <w:marBottom w:val="0"/>
      <w:divBdr>
        <w:top w:val="none" w:sz="0" w:space="0" w:color="auto"/>
        <w:left w:val="none" w:sz="0" w:space="0" w:color="auto"/>
        <w:bottom w:val="none" w:sz="0" w:space="0" w:color="auto"/>
        <w:right w:val="none" w:sz="0" w:space="0" w:color="auto"/>
      </w:divBdr>
    </w:div>
    <w:div w:id="213079482">
      <w:bodyDiv w:val="1"/>
      <w:marLeft w:val="0"/>
      <w:marRight w:val="0"/>
      <w:marTop w:val="0"/>
      <w:marBottom w:val="0"/>
      <w:divBdr>
        <w:top w:val="none" w:sz="0" w:space="0" w:color="auto"/>
        <w:left w:val="none" w:sz="0" w:space="0" w:color="auto"/>
        <w:bottom w:val="none" w:sz="0" w:space="0" w:color="auto"/>
        <w:right w:val="none" w:sz="0" w:space="0" w:color="auto"/>
      </w:divBdr>
    </w:div>
    <w:div w:id="219249953">
      <w:bodyDiv w:val="1"/>
      <w:marLeft w:val="0"/>
      <w:marRight w:val="0"/>
      <w:marTop w:val="0"/>
      <w:marBottom w:val="0"/>
      <w:divBdr>
        <w:top w:val="none" w:sz="0" w:space="0" w:color="auto"/>
        <w:left w:val="none" w:sz="0" w:space="0" w:color="auto"/>
        <w:bottom w:val="none" w:sz="0" w:space="0" w:color="auto"/>
        <w:right w:val="none" w:sz="0" w:space="0" w:color="auto"/>
      </w:divBdr>
    </w:div>
    <w:div w:id="248933293">
      <w:bodyDiv w:val="1"/>
      <w:marLeft w:val="0"/>
      <w:marRight w:val="0"/>
      <w:marTop w:val="0"/>
      <w:marBottom w:val="0"/>
      <w:divBdr>
        <w:top w:val="none" w:sz="0" w:space="0" w:color="auto"/>
        <w:left w:val="none" w:sz="0" w:space="0" w:color="auto"/>
        <w:bottom w:val="none" w:sz="0" w:space="0" w:color="auto"/>
        <w:right w:val="none" w:sz="0" w:space="0" w:color="auto"/>
      </w:divBdr>
    </w:div>
    <w:div w:id="272980337">
      <w:bodyDiv w:val="1"/>
      <w:marLeft w:val="0"/>
      <w:marRight w:val="0"/>
      <w:marTop w:val="0"/>
      <w:marBottom w:val="0"/>
      <w:divBdr>
        <w:top w:val="none" w:sz="0" w:space="0" w:color="auto"/>
        <w:left w:val="none" w:sz="0" w:space="0" w:color="auto"/>
        <w:bottom w:val="none" w:sz="0" w:space="0" w:color="auto"/>
        <w:right w:val="none" w:sz="0" w:space="0" w:color="auto"/>
      </w:divBdr>
    </w:div>
    <w:div w:id="291138745">
      <w:bodyDiv w:val="1"/>
      <w:marLeft w:val="0"/>
      <w:marRight w:val="0"/>
      <w:marTop w:val="0"/>
      <w:marBottom w:val="0"/>
      <w:divBdr>
        <w:top w:val="none" w:sz="0" w:space="0" w:color="auto"/>
        <w:left w:val="none" w:sz="0" w:space="0" w:color="auto"/>
        <w:bottom w:val="none" w:sz="0" w:space="0" w:color="auto"/>
        <w:right w:val="none" w:sz="0" w:space="0" w:color="auto"/>
      </w:divBdr>
    </w:div>
    <w:div w:id="295331789">
      <w:bodyDiv w:val="1"/>
      <w:marLeft w:val="0"/>
      <w:marRight w:val="0"/>
      <w:marTop w:val="0"/>
      <w:marBottom w:val="0"/>
      <w:divBdr>
        <w:top w:val="none" w:sz="0" w:space="0" w:color="auto"/>
        <w:left w:val="none" w:sz="0" w:space="0" w:color="auto"/>
        <w:bottom w:val="none" w:sz="0" w:space="0" w:color="auto"/>
        <w:right w:val="none" w:sz="0" w:space="0" w:color="auto"/>
      </w:divBdr>
    </w:div>
    <w:div w:id="349794677">
      <w:bodyDiv w:val="1"/>
      <w:marLeft w:val="0"/>
      <w:marRight w:val="0"/>
      <w:marTop w:val="0"/>
      <w:marBottom w:val="0"/>
      <w:divBdr>
        <w:top w:val="none" w:sz="0" w:space="0" w:color="auto"/>
        <w:left w:val="none" w:sz="0" w:space="0" w:color="auto"/>
        <w:bottom w:val="none" w:sz="0" w:space="0" w:color="auto"/>
        <w:right w:val="none" w:sz="0" w:space="0" w:color="auto"/>
      </w:divBdr>
    </w:div>
    <w:div w:id="355079517">
      <w:bodyDiv w:val="1"/>
      <w:marLeft w:val="0"/>
      <w:marRight w:val="0"/>
      <w:marTop w:val="0"/>
      <w:marBottom w:val="0"/>
      <w:divBdr>
        <w:top w:val="none" w:sz="0" w:space="0" w:color="auto"/>
        <w:left w:val="none" w:sz="0" w:space="0" w:color="auto"/>
        <w:bottom w:val="none" w:sz="0" w:space="0" w:color="auto"/>
        <w:right w:val="none" w:sz="0" w:space="0" w:color="auto"/>
      </w:divBdr>
    </w:div>
    <w:div w:id="360518903">
      <w:bodyDiv w:val="1"/>
      <w:marLeft w:val="0"/>
      <w:marRight w:val="0"/>
      <w:marTop w:val="0"/>
      <w:marBottom w:val="0"/>
      <w:divBdr>
        <w:top w:val="none" w:sz="0" w:space="0" w:color="auto"/>
        <w:left w:val="none" w:sz="0" w:space="0" w:color="auto"/>
        <w:bottom w:val="none" w:sz="0" w:space="0" w:color="auto"/>
        <w:right w:val="none" w:sz="0" w:space="0" w:color="auto"/>
      </w:divBdr>
    </w:div>
    <w:div w:id="361903131">
      <w:bodyDiv w:val="1"/>
      <w:marLeft w:val="0"/>
      <w:marRight w:val="0"/>
      <w:marTop w:val="0"/>
      <w:marBottom w:val="0"/>
      <w:divBdr>
        <w:top w:val="none" w:sz="0" w:space="0" w:color="auto"/>
        <w:left w:val="none" w:sz="0" w:space="0" w:color="auto"/>
        <w:bottom w:val="none" w:sz="0" w:space="0" w:color="auto"/>
        <w:right w:val="none" w:sz="0" w:space="0" w:color="auto"/>
      </w:divBdr>
    </w:div>
    <w:div w:id="368530653">
      <w:bodyDiv w:val="1"/>
      <w:marLeft w:val="0"/>
      <w:marRight w:val="0"/>
      <w:marTop w:val="0"/>
      <w:marBottom w:val="0"/>
      <w:divBdr>
        <w:top w:val="none" w:sz="0" w:space="0" w:color="auto"/>
        <w:left w:val="none" w:sz="0" w:space="0" w:color="auto"/>
        <w:bottom w:val="none" w:sz="0" w:space="0" w:color="auto"/>
        <w:right w:val="none" w:sz="0" w:space="0" w:color="auto"/>
      </w:divBdr>
    </w:div>
    <w:div w:id="400519366">
      <w:bodyDiv w:val="1"/>
      <w:marLeft w:val="0"/>
      <w:marRight w:val="0"/>
      <w:marTop w:val="0"/>
      <w:marBottom w:val="0"/>
      <w:divBdr>
        <w:top w:val="none" w:sz="0" w:space="0" w:color="auto"/>
        <w:left w:val="none" w:sz="0" w:space="0" w:color="auto"/>
        <w:bottom w:val="none" w:sz="0" w:space="0" w:color="auto"/>
        <w:right w:val="none" w:sz="0" w:space="0" w:color="auto"/>
      </w:divBdr>
    </w:div>
    <w:div w:id="436023402">
      <w:bodyDiv w:val="1"/>
      <w:marLeft w:val="0"/>
      <w:marRight w:val="0"/>
      <w:marTop w:val="0"/>
      <w:marBottom w:val="0"/>
      <w:divBdr>
        <w:top w:val="none" w:sz="0" w:space="0" w:color="auto"/>
        <w:left w:val="none" w:sz="0" w:space="0" w:color="auto"/>
        <w:bottom w:val="none" w:sz="0" w:space="0" w:color="auto"/>
        <w:right w:val="none" w:sz="0" w:space="0" w:color="auto"/>
      </w:divBdr>
    </w:div>
    <w:div w:id="446462330">
      <w:bodyDiv w:val="1"/>
      <w:marLeft w:val="0"/>
      <w:marRight w:val="0"/>
      <w:marTop w:val="0"/>
      <w:marBottom w:val="0"/>
      <w:divBdr>
        <w:top w:val="none" w:sz="0" w:space="0" w:color="auto"/>
        <w:left w:val="none" w:sz="0" w:space="0" w:color="auto"/>
        <w:bottom w:val="none" w:sz="0" w:space="0" w:color="auto"/>
        <w:right w:val="none" w:sz="0" w:space="0" w:color="auto"/>
      </w:divBdr>
    </w:div>
    <w:div w:id="448819354">
      <w:bodyDiv w:val="1"/>
      <w:marLeft w:val="0"/>
      <w:marRight w:val="0"/>
      <w:marTop w:val="0"/>
      <w:marBottom w:val="0"/>
      <w:divBdr>
        <w:top w:val="none" w:sz="0" w:space="0" w:color="auto"/>
        <w:left w:val="none" w:sz="0" w:space="0" w:color="auto"/>
        <w:bottom w:val="none" w:sz="0" w:space="0" w:color="auto"/>
        <w:right w:val="none" w:sz="0" w:space="0" w:color="auto"/>
      </w:divBdr>
    </w:div>
    <w:div w:id="461701402">
      <w:bodyDiv w:val="1"/>
      <w:marLeft w:val="0"/>
      <w:marRight w:val="0"/>
      <w:marTop w:val="0"/>
      <w:marBottom w:val="0"/>
      <w:divBdr>
        <w:top w:val="none" w:sz="0" w:space="0" w:color="auto"/>
        <w:left w:val="none" w:sz="0" w:space="0" w:color="auto"/>
        <w:bottom w:val="none" w:sz="0" w:space="0" w:color="auto"/>
        <w:right w:val="none" w:sz="0" w:space="0" w:color="auto"/>
      </w:divBdr>
    </w:div>
    <w:div w:id="464784261">
      <w:bodyDiv w:val="1"/>
      <w:marLeft w:val="0"/>
      <w:marRight w:val="0"/>
      <w:marTop w:val="0"/>
      <w:marBottom w:val="0"/>
      <w:divBdr>
        <w:top w:val="none" w:sz="0" w:space="0" w:color="auto"/>
        <w:left w:val="none" w:sz="0" w:space="0" w:color="auto"/>
        <w:bottom w:val="none" w:sz="0" w:space="0" w:color="auto"/>
        <w:right w:val="none" w:sz="0" w:space="0" w:color="auto"/>
      </w:divBdr>
    </w:div>
    <w:div w:id="509679600">
      <w:bodyDiv w:val="1"/>
      <w:marLeft w:val="0"/>
      <w:marRight w:val="0"/>
      <w:marTop w:val="0"/>
      <w:marBottom w:val="0"/>
      <w:divBdr>
        <w:top w:val="none" w:sz="0" w:space="0" w:color="auto"/>
        <w:left w:val="none" w:sz="0" w:space="0" w:color="auto"/>
        <w:bottom w:val="none" w:sz="0" w:space="0" w:color="auto"/>
        <w:right w:val="none" w:sz="0" w:space="0" w:color="auto"/>
      </w:divBdr>
    </w:div>
    <w:div w:id="528371769">
      <w:bodyDiv w:val="1"/>
      <w:marLeft w:val="0"/>
      <w:marRight w:val="0"/>
      <w:marTop w:val="0"/>
      <w:marBottom w:val="0"/>
      <w:divBdr>
        <w:top w:val="none" w:sz="0" w:space="0" w:color="auto"/>
        <w:left w:val="none" w:sz="0" w:space="0" w:color="auto"/>
        <w:bottom w:val="none" w:sz="0" w:space="0" w:color="auto"/>
        <w:right w:val="none" w:sz="0" w:space="0" w:color="auto"/>
      </w:divBdr>
    </w:div>
    <w:div w:id="541215572">
      <w:bodyDiv w:val="1"/>
      <w:marLeft w:val="0"/>
      <w:marRight w:val="0"/>
      <w:marTop w:val="0"/>
      <w:marBottom w:val="0"/>
      <w:divBdr>
        <w:top w:val="none" w:sz="0" w:space="0" w:color="auto"/>
        <w:left w:val="none" w:sz="0" w:space="0" w:color="auto"/>
        <w:bottom w:val="none" w:sz="0" w:space="0" w:color="auto"/>
        <w:right w:val="none" w:sz="0" w:space="0" w:color="auto"/>
      </w:divBdr>
    </w:div>
    <w:div w:id="563569988">
      <w:bodyDiv w:val="1"/>
      <w:marLeft w:val="0"/>
      <w:marRight w:val="0"/>
      <w:marTop w:val="0"/>
      <w:marBottom w:val="0"/>
      <w:divBdr>
        <w:top w:val="none" w:sz="0" w:space="0" w:color="auto"/>
        <w:left w:val="none" w:sz="0" w:space="0" w:color="auto"/>
        <w:bottom w:val="none" w:sz="0" w:space="0" w:color="auto"/>
        <w:right w:val="none" w:sz="0" w:space="0" w:color="auto"/>
      </w:divBdr>
    </w:div>
    <w:div w:id="591553789">
      <w:bodyDiv w:val="1"/>
      <w:marLeft w:val="0"/>
      <w:marRight w:val="0"/>
      <w:marTop w:val="0"/>
      <w:marBottom w:val="0"/>
      <w:divBdr>
        <w:top w:val="none" w:sz="0" w:space="0" w:color="auto"/>
        <w:left w:val="none" w:sz="0" w:space="0" w:color="auto"/>
        <w:bottom w:val="none" w:sz="0" w:space="0" w:color="auto"/>
        <w:right w:val="none" w:sz="0" w:space="0" w:color="auto"/>
      </w:divBdr>
    </w:div>
    <w:div w:id="593902920">
      <w:bodyDiv w:val="1"/>
      <w:marLeft w:val="0"/>
      <w:marRight w:val="0"/>
      <w:marTop w:val="0"/>
      <w:marBottom w:val="0"/>
      <w:divBdr>
        <w:top w:val="none" w:sz="0" w:space="0" w:color="auto"/>
        <w:left w:val="none" w:sz="0" w:space="0" w:color="auto"/>
        <w:bottom w:val="none" w:sz="0" w:space="0" w:color="auto"/>
        <w:right w:val="none" w:sz="0" w:space="0" w:color="auto"/>
      </w:divBdr>
    </w:div>
    <w:div w:id="619607099">
      <w:bodyDiv w:val="1"/>
      <w:marLeft w:val="0"/>
      <w:marRight w:val="0"/>
      <w:marTop w:val="0"/>
      <w:marBottom w:val="0"/>
      <w:divBdr>
        <w:top w:val="none" w:sz="0" w:space="0" w:color="auto"/>
        <w:left w:val="none" w:sz="0" w:space="0" w:color="auto"/>
        <w:bottom w:val="none" w:sz="0" w:space="0" w:color="auto"/>
        <w:right w:val="none" w:sz="0" w:space="0" w:color="auto"/>
      </w:divBdr>
    </w:div>
    <w:div w:id="638918671">
      <w:bodyDiv w:val="1"/>
      <w:marLeft w:val="0"/>
      <w:marRight w:val="0"/>
      <w:marTop w:val="0"/>
      <w:marBottom w:val="0"/>
      <w:divBdr>
        <w:top w:val="none" w:sz="0" w:space="0" w:color="auto"/>
        <w:left w:val="none" w:sz="0" w:space="0" w:color="auto"/>
        <w:bottom w:val="none" w:sz="0" w:space="0" w:color="auto"/>
        <w:right w:val="none" w:sz="0" w:space="0" w:color="auto"/>
      </w:divBdr>
    </w:div>
    <w:div w:id="678046177">
      <w:bodyDiv w:val="1"/>
      <w:marLeft w:val="0"/>
      <w:marRight w:val="0"/>
      <w:marTop w:val="0"/>
      <w:marBottom w:val="0"/>
      <w:divBdr>
        <w:top w:val="none" w:sz="0" w:space="0" w:color="auto"/>
        <w:left w:val="none" w:sz="0" w:space="0" w:color="auto"/>
        <w:bottom w:val="none" w:sz="0" w:space="0" w:color="auto"/>
        <w:right w:val="none" w:sz="0" w:space="0" w:color="auto"/>
      </w:divBdr>
    </w:div>
    <w:div w:id="686297460">
      <w:bodyDiv w:val="1"/>
      <w:marLeft w:val="0"/>
      <w:marRight w:val="0"/>
      <w:marTop w:val="0"/>
      <w:marBottom w:val="0"/>
      <w:divBdr>
        <w:top w:val="none" w:sz="0" w:space="0" w:color="auto"/>
        <w:left w:val="none" w:sz="0" w:space="0" w:color="auto"/>
        <w:bottom w:val="none" w:sz="0" w:space="0" w:color="auto"/>
        <w:right w:val="none" w:sz="0" w:space="0" w:color="auto"/>
      </w:divBdr>
    </w:div>
    <w:div w:id="708184755">
      <w:bodyDiv w:val="1"/>
      <w:marLeft w:val="0"/>
      <w:marRight w:val="0"/>
      <w:marTop w:val="0"/>
      <w:marBottom w:val="0"/>
      <w:divBdr>
        <w:top w:val="none" w:sz="0" w:space="0" w:color="auto"/>
        <w:left w:val="none" w:sz="0" w:space="0" w:color="auto"/>
        <w:bottom w:val="none" w:sz="0" w:space="0" w:color="auto"/>
        <w:right w:val="none" w:sz="0" w:space="0" w:color="auto"/>
      </w:divBdr>
    </w:div>
    <w:div w:id="711925469">
      <w:bodyDiv w:val="1"/>
      <w:marLeft w:val="0"/>
      <w:marRight w:val="0"/>
      <w:marTop w:val="0"/>
      <w:marBottom w:val="0"/>
      <w:divBdr>
        <w:top w:val="none" w:sz="0" w:space="0" w:color="auto"/>
        <w:left w:val="none" w:sz="0" w:space="0" w:color="auto"/>
        <w:bottom w:val="none" w:sz="0" w:space="0" w:color="auto"/>
        <w:right w:val="none" w:sz="0" w:space="0" w:color="auto"/>
      </w:divBdr>
    </w:div>
    <w:div w:id="722213020">
      <w:bodyDiv w:val="1"/>
      <w:marLeft w:val="0"/>
      <w:marRight w:val="0"/>
      <w:marTop w:val="0"/>
      <w:marBottom w:val="0"/>
      <w:divBdr>
        <w:top w:val="none" w:sz="0" w:space="0" w:color="auto"/>
        <w:left w:val="none" w:sz="0" w:space="0" w:color="auto"/>
        <w:bottom w:val="none" w:sz="0" w:space="0" w:color="auto"/>
        <w:right w:val="none" w:sz="0" w:space="0" w:color="auto"/>
      </w:divBdr>
    </w:div>
    <w:div w:id="747389332">
      <w:bodyDiv w:val="1"/>
      <w:marLeft w:val="0"/>
      <w:marRight w:val="0"/>
      <w:marTop w:val="0"/>
      <w:marBottom w:val="0"/>
      <w:divBdr>
        <w:top w:val="none" w:sz="0" w:space="0" w:color="auto"/>
        <w:left w:val="none" w:sz="0" w:space="0" w:color="auto"/>
        <w:bottom w:val="none" w:sz="0" w:space="0" w:color="auto"/>
        <w:right w:val="none" w:sz="0" w:space="0" w:color="auto"/>
      </w:divBdr>
    </w:div>
    <w:div w:id="758408461">
      <w:bodyDiv w:val="1"/>
      <w:marLeft w:val="0"/>
      <w:marRight w:val="0"/>
      <w:marTop w:val="0"/>
      <w:marBottom w:val="0"/>
      <w:divBdr>
        <w:top w:val="none" w:sz="0" w:space="0" w:color="auto"/>
        <w:left w:val="none" w:sz="0" w:space="0" w:color="auto"/>
        <w:bottom w:val="none" w:sz="0" w:space="0" w:color="auto"/>
        <w:right w:val="none" w:sz="0" w:space="0" w:color="auto"/>
      </w:divBdr>
    </w:div>
    <w:div w:id="766928941">
      <w:bodyDiv w:val="1"/>
      <w:marLeft w:val="0"/>
      <w:marRight w:val="0"/>
      <w:marTop w:val="0"/>
      <w:marBottom w:val="0"/>
      <w:divBdr>
        <w:top w:val="none" w:sz="0" w:space="0" w:color="auto"/>
        <w:left w:val="none" w:sz="0" w:space="0" w:color="auto"/>
        <w:bottom w:val="none" w:sz="0" w:space="0" w:color="auto"/>
        <w:right w:val="none" w:sz="0" w:space="0" w:color="auto"/>
      </w:divBdr>
    </w:div>
    <w:div w:id="767238845">
      <w:bodyDiv w:val="1"/>
      <w:marLeft w:val="0"/>
      <w:marRight w:val="0"/>
      <w:marTop w:val="0"/>
      <w:marBottom w:val="0"/>
      <w:divBdr>
        <w:top w:val="none" w:sz="0" w:space="0" w:color="auto"/>
        <w:left w:val="none" w:sz="0" w:space="0" w:color="auto"/>
        <w:bottom w:val="none" w:sz="0" w:space="0" w:color="auto"/>
        <w:right w:val="none" w:sz="0" w:space="0" w:color="auto"/>
      </w:divBdr>
    </w:div>
    <w:div w:id="777943604">
      <w:bodyDiv w:val="1"/>
      <w:marLeft w:val="0"/>
      <w:marRight w:val="0"/>
      <w:marTop w:val="0"/>
      <w:marBottom w:val="0"/>
      <w:divBdr>
        <w:top w:val="none" w:sz="0" w:space="0" w:color="auto"/>
        <w:left w:val="none" w:sz="0" w:space="0" w:color="auto"/>
        <w:bottom w:val="none" w:sz="0" w:space="0" w:color="auto"/>
        <w:right w:val="none" w:sz="0" w:space="0" w:color="auto"/>
      </w:divBdr>
    </w:div>
    <w:div w:id="819856540">
      <w:bodyDiv w:val="1"/>
      <w:marLeft w:val="0"/>
      <w:marRight w:val="0"/>
      <w:marTop w:val="0"/>
      <w:marBottom w:val="0"/>
      <w:divBdr>
        <w:top w:val="none" w:sz="0" w:space="0" w:color="auto"/>
        <w:left w:val="none" w:sz="0" w:space="0" w:color="auto"/>
        <w:bottom w:val="none" w:sz="0" w:space="0" w:color="auto"/>
        <w:right w:val="none" w:sz="0" w:space="0" w:color="auto"/>
      </w:divBdr>
    </w:div>
    <w:div w:id="821580145">
      <w:bodyDiv w:val="1"/>
      <w:marLeft w:val="0"/>
      <w:marRight w:val="0"/>
      <w:marTop w:val="0"/>
      <w:marBottom w:val="0"/>
      <w:divBdr>
        <w:top w:val="none" w:sz="0" w:space="0" w:color="auto"/>
        <w:left w:val="none" w:sz="0" w:space="0" w:color="auto"/>
        <w:bottom w:val="none" w:sz="0" w:space="0" w:color="auto"/>
        <w:right w:val="none" w:sz="0" w:space="0" w:color="auto"/>
      </w:divBdr>
    </w:div>
    <w:div w:id="823398132">
      <w:bodyDiv w:val="1"/>
      <w:marLeft w:val="0"/>
      <w:marRight w:val="0"/>
      <w:marTop w:val="0"/>
      <w:marBottom w:val="0"/>
      <w:divBdr>
        <w:top w:val="none" w:sz="0" w:space="0" w:color="auto"/>
        <w:left w:val="none" w:sz="0" w:space="0" w:color="auto"/>
        <w:bottom w:val="none" w:sz="0" w:space="0" w:color="auto"/>
        <w:right w:val="none" w:sz="0" w:space="0" w:color="auto"/>
      </w:divBdr>
    </w:div>
    <w:div w:id="830099866">
      <w:bodyDiv w:val="1"/>
      <w:marLeft w:val="0"/>
      <w:marRight w:val="0"/>
      <w:marTop w:val="0"/>
      <w:marBottom w:val="0"/>
      <w:divBdr>
        <w:top w:val="none" w:sz="0" w:space="0" w:color="auto"/>
        <w:left w:val="none" w:sz="0" w:space="0" w:color="auto"/>
        <w:bottom w:val="none" w:sz="0" w:space="0" w:color="auto"/>
        <w:right w:val="none" w:sz="0" w:space="0" w:color="auto"/>
      </w:divBdr>
    </w:div>
    <w:div w:id="849106493">
      <w:bodyDiv w:val="1"/>
      <w:marLeft w:val="0"/>
      <w:marRight w:val="0"/>
      <w:marTop w:val="0"/>
      <w:marBottom w:val="0"/>
      <w:divBdr>
        <w:top w:val="none" w:sz="0" w:space="0" w:color="auto"/>
        <w:left w:val="none" w:sz="0" w:space="0" w:color="auto"/>
        <w:bottom w:val="none" w:sz="0" w:space="0" w:color="auto"/>
        <w:right w:val="none" w:sz="0" w:space="0" w:color="auto"/>
      </w:divBdr>
    </w:div>
    <w:div w:id="881287247">
      <w:bodyDiv w:val="1"/>
      <w:marLeft w:val="0"/>
      <w:marRight w:val="0"/>
      <w:marTop w:val="0"/>
      <w:marBottom w:val="0"/>
      <w:divBdr>
        <w:top w:val="none" w:sz="0" w:space="0" w:color="auto"/>
        <w:left w:val="none" w:sz="0" w:space="0" w:color="auto"/>
        <w:bottom w:val="none" w:sz="0" w:space="0" w:color="auto"/>
        <w:right w:val="none" w:sz="0" w:space="0" w:color="auto"/>
      </w:divBdr>
    </w:div>
    <w:div w:id="896086282">
      <w:bodyDiv w:val="1"/>
      <w:marLeft w:val="0"/>
      <w:marRight w:val="0"/>
      <w:marTop w:val="0"/>
      <w:marBottom w:val="0"/>
      <w:divBdr>
        <w:top w:val="none" w:sz="0" w:space="0" w:color="auto"/>
        <w:left w:val="none" w:sz="0" w:space="0" w:color="auto"/>
        <w:bottom w:val="none" w:sz="0" w:space="0" w:color="auto"/>
        <w:right w:val="none" w:sz="0" w:space="0" w:color="auto"/>
      </w:divBdr>
    </w:div>
    <w:div w:id="923808280">
      <w:bodyDiv w:val="1"/>
      <w:marLeft w:val="0"/>
      <w:marRight w:val="0"/>
      <w:marTop w:val="0"/>
      <w:marBottom w:val="0"/>
      <w:divBdr>
        <w:top w:val="none" w:sz="0" w:space="0" w:color="auto"/>
        <w:left w:val="none" w:sz="0" w:space="0" w:color="auto"/>
        <w:bottom w:val="none" w:sz="0" w:space="0" w:color="auto"/>
        <w:right w:val="none" w:sz="0" w:space="0" w:color="auto"/>
      </w:divBdr>
    </w:div>
    <w:div w:id="929698536">
      <w:bodyDiv w:val="1"/>
      <w:marLeft w:val="0"/>
      <w:marRight w:val="0"/>
      <w:marTop w:val="0"/>
      <w:marBottom w:val="0"/>
      <w:divBdr>
        <w:top w:val="none" w:sz="0" w:space="0" w:color="auto"/>
        <w:left w:val="none" w:sz="0" w:space="0" w:color="auto"/>
        <w:bottom w:val="none" w:sz="0" w:space="0" w:color="auto"/>
        <w:right w:val="none" w:sz="0" w:space="0" w:color="auto"/>
      </w:divBdr>
    </w:div>
    <w:div w:id="940916198">
      <w:bodyDiv w:val="1"/>
      <w:marLeft w:val="0"/>
      <w:marRight w:val="0"/>
      <w:marTop w:val="0"/>
      <w:marBottom w:val="0"/>
      <w:divBdr>
        <w:top w:val="none" w:sz="0" w:space="0" w:color="auto"/>
        <w:left w:val="none" w:sz="0" w:space="0" w:color="auto"/>
        <w:bottom w:val="none" w:sz="0" w:space="0" w:color="auto"/>
        <w:right w:val="none" w:sz="0" w:space="0" w:color="auto"/>
      </w:divBdr>
    </w:div>
    <w:div w:id="947741536">
      <w:bodyDiv w:val="1"/>
      <w:marLeft w:val="0"/>
      <w:marRight w:val="0"/>
      <w:marTop w:val="0"/>
      <w:marBottom w:val="0"/>
      <w:divBdr>
        <w:top w:val="none" w:sz="0" w:space="0" w:color="auto"/>
        <w:left w:val="none" w:sz="0" w:space="0" w:color="auto"/>
        <w:bottom w:val="none" w:sz="0" w:space="0" w:color="auto"/>
        <w:right w:val="none" w:sz="0" w:space="0" w:color="auto"/>
      </w:divBdr>
    </w:div>
    <w:div w:id="983197863">
      <w:bodyDiv w:val="1"/>
      <w:marLeft w:val="0"/>
      <w:marRight w:val="0"/>
      <w:marTop w:val="0"/>
      <w:marBottom w:val="0"/>
      <w:divBdr>
        <w:top w:val="none" w:sz="0" w:space="0" w:color="auto"/>
        <w:left w:val="none" w:sz="0" w:space="0" w:color="auto"/>
        <w:bottom w:val="none" w:sz="0" w:space="0" w:color="auto"/>
        <w:right w:val="none" w:sz="0" w:space="0" w:color="auto"/>
      </w:divBdr>
    </w:div>
    <w:div w:id="1012683206">
      <w:bodyDiv w:val="1"/>
      <w:marLeft w:val="0"/>
      <w:marRight w:val="0"/>
      <w:marTop w:val="0"/>
      <w:marBottom w:val="0"/>
      <w:divBdr>
        <w:top w:val="none" w:sz="0" w:space="0" w:color="auto"/>
        <w:left w:val="none" w:sz="0" w:space="0" w:color="auto"/>
        <w:bottom w:val="none" w:sz="0" w:space="0" w:color="auto"/>
        <w:right w:val="none" w:sz="0" w:space="0" w:color="auto"/>
      </w:divBdr>
    </w:div>
    <w:div w:id="1026171858">
      <w:bodyDiv w:val="1"/>
      <w:marLeft w:val="0"/>
      <w:marRight w:val="0"/>
      <w:marTop w:val="0"/>
      <w:marBottom w:val="0"/>
      <w:divBdr>
        <w:top w:val="none" w:sz="0" w:space="0" w:color="auto"/>
        <w:left w:val="none" w:sz="0" w:space="0" w:color="auto"/>
        <w:bottom w:val="none" w:sz="0" w:space="0" w:color="auto"/>
        <w:right w:val="none" w:sz="0" w:space="0" w:color="auto"/>
      </w:divBdr>
    </w:div>
    <w:div w:id="1040127548">
      <w:bodyDiv w:val="1"/>
      <w:marLeft w:val="0"/>
      <w:marRight w:val="0"/>
      <w:marTop w:val="0"/>
      <w:marBottom w:val="0"/>
      <w:divBdr>
        <w:top w:val="none" w:sz="0" w:space="0" w:color="auto"/>
        <w:left w:val="none" w:sz="0" w:space="0" w:color="auto"/>
        <w:bottom w:val="none" w:sz="0" w:space="0" w:color="auto"/>
        <w:right w:val="none" w:sz="0" w:space="0" w:color="auto"/>
      </w:divBdr>
    </w:div>
    <w:div w:id="1080326339">
      <w:bodyDiv w:val="1"/>
      <w:marLeft w:val="0"/>
      <w:marRight w:val="0"/>
      <w:marTop w:val="0"/>
      <w:marBottom w:val="0"/>
      <w:divBdr>
        <w:top w:val="none" w:sz="0" w:space="0" w:color="auto"/>
        <w:left w:val="none" w:sz="0" w:space="0" w:color="auto"/>
        <w:bottom w:val="none" w:sz="0" w:space="0" w:color="auto"/>
        <w:right w:val="none" w:sz="0" w:space="0" w:color="auto"/>
      </w:divBdr>
    </w:div>
    <w:div w:id="1090155225">
      <w:bodyDiv w:val="1"/>
      <w:marLeft w:val="0"/>
      <w:marRight w:val="0"/>
      <w:marTop w:val="0"/>
      <w:marBottom w:val="0"/>
      <w:divBdr>
        <w:top w:val="none" w:sz="0" w:space="0" w:color="auto"/>
        <w:left w:val="none" w:sz="0" w:space="0" w:color="auto"/>
        <w:bottom w:val="none" w:sz="0" w:space="0" w:color="auto"/>
        <w:right w:val="none" w:sz="0" w:space="0" w:color="auto"/>
      </w:divBdr>
    </w:div>
    <w:div w:id="1098872162">
      <w:bodyDiv w:val="1"/>
      <w:marLeft w:val="0"/>
      <w:marRight w:val="0"/>
      <w:marTop w:val="0"/>
      <w:marBottom w:val="0"/>
      <w:divBdr>
        <w:top w:val="none" w:sz="0" w:space="0" w:color="auto"/>
        <w:left w:val="none" w:sz="0" w:space="0" w:color="auto"/>
        <w:bottom w:val="none" w:sz="0" w:space="0" w:color="auto"/>
        <w:right w:val="none" w:sz="0" w:space="0" w:color="auto"/>
      </w:divBdr>
    </w:div>
    <w:div w:id="1109396048">
      <w:bodyDiv w:val="1"/>
      <w:marLeft w:val="0"/>
      <w:marRight w:val="0"/>
      <w:marTop w:val="0"/>
      <w:marBottom w:val="0"/>
      <w:divBdr>
        <w:top w:val="none" w:sz="0" w:space="0" w:color="auto"/>
        <w:left w:val="none" w:sz="0" w:space="0" w:color="auto"/>
        <w:bottom w:val="none" w:sz="0" w:space="0" w:color="auto"/>
        <w:right w:val="none" w:sz="0" w:space="0" w:color="auto"/>
      </w:divBdr>
    </w:div>
    <w:div w:id="1117530321">
      <w:bodyDiv w:val="1"/>
      <w:marLeft w:val="0"/>
      <w:marRight w:val="0"/>
      <w:marTop w:val="0"/>
      <w:marBottom w:val="0"/>
      <w:divBdr>
        <w:top w:val="none" w:sz="0" w:space="0" w:color="auto"/>
        <w:left w:val="none" w:sz="0" w:space="0" w:color="auto"/>
        <w:bottom w:val="none" w:sz="0" w:space="0" w:color="auto"/>
        <w:right w:val="none" w:sz="0" w:space="0" w:color="auto"/>
      </w:divBdr>
    </w:div>
    <w:div w:id="1133446280">
      <w:bodyDiv w:val="1"/>
      <w:marLeft w:val="0"/>
      <w:marRight w:val="0"/>
      <w:marTop w:val="0"/>
      <w:marBottom w:val="0"/>
      <w:divBdr>
        <w:top w:val="none" w:sz="0" w:space="0" w:color="auto"/>
        <w:left w:val="none" w:sz="0" w:space="0" w:color="auto"/>
        <w:bottom w:val="none" w:sz="0" w:space="0" w:color="auto"/>
        <w:right w:val="none" w:sz="0" w:space="0" w:color="auto"/>
      </w:divBdr>
    </w:div>
    <w:div w:id="1147865644">
      <w:bodyDiv w:val="1"/>
      <w:marLeft w:val="0"/>
      <w:marRight w:val="0"/>
      <w:marTop w:val="0"/>
      <w:marBottom w:val="0"/>
      <w:divBdr>
        <w:top w:val="none" w:sz="0" w:space="0" w:color="auto"/>
        <w:left w:val="none" w:sz="0" w:space="0" w:color="auto"/>
        <w:bottom w:val="none" w:sz="0" w:space="0" w:color="auto"/>
        <w:right w:val="none" w:sz="0" w:space="0" w:color="auto"/>
      </w:divBdr>
    </w:div>
    <w:div w:id="1173489622">
      <w:bodyDiv w:val="1"/>
      <w:marLeft w:val="0"/>
      <w:marRight w:val="0"/>
      <w:marTop w:val="0"/>
      <w:marBottom w:val="0"/>
      <w:divBdr>
        <w:top w:val="none" w:sz="0" w:space="0" w:color="auto"/>
        <w:left w:val="none" w:sz="0" w:space="0" w:color="auto"/>
        <w:bottom w:val="none" w:sz="0" w:space="0" w:color="auto"/>
        <w:right w:val="none" w:sz="0" w:space="0" w:color="auto"/>
      </w:divBdr>
    </w:div>
    <w:div w:id="1184901786">
      <w:bodyDiv w:val="1"/>
      <w:marLeft w:val="0"/>
      <w:marRight w:val="0"/>
      <w:marTop w:val="0"/>
      <w:marBottom w:val="0"/>
      <w:divBdr>
        <w:top w:val="none" w:sz="0" w:space="0" w:color="auto"/>
        <w:left w:val="none" w:sz="0" w:space="0" w:color="auto"/>
        <w:bottom w:val="none" w:sz="0" w:space="0" w:color="auto"/>
        <w:right w:val="none" w:sz="0" w:space="0" w:color="auto"/>
      </w:divBdr>
    </w:div>
    <w:div w:id="1186670129">
      <w:bodyDiv w:val="1"/>
      <w:marLeft w:val="0"/>
      <w:marRight w:val="0"/>
      <w:marTop w:val="0"/>
      <w:marBottom w:val="0"/>
      <w:divBdr>
        <w:top w:val="none" w:sz="0" w:space="0" w:color="auto"/>
        <w:left w:val="none" w:sz="0" w:space="0" w:color="auto"/>
        <w:bottom w:val="none" w:sz="0" w:space="0" w:color="auto"/>
        <w:right w:val="none" w:sz="0" w:space="0" w:color="auto"/>
      </w:divBdr>
    </w:div>
    <w:div w:id="1203859433">
      <w:bodyDiv w:val="1"/>
      <w:marLeft w:val="0"/>
      <w:marRight w:val="0"/>
      <w:marTop w:val="0"/>
      <w:marBottom w:val="0"/>
      <w:divBdr>
        <w:top w:val="none" w:sz="0" w:space="0" w:color="auto"/>
        <w:left w:val="none" w:sz="0" w:space="0" w:color="auto"/>
        <w:bottom w:val="none" w:sz="0" w:space="0" w:color="auto"/>
        <w:right w:val="none" w:sz="0" w:space="0" w:color="auto"/>
      </w:divBdr>
    </w:div>
    <w:div w:id="1234196627">
      <w:bodyDiv w:val="1"/>
      <w:marLeft w:val="0"/>
      <w:marRight w:val="0"/>
      <w:marTop w:val="0"/>
      <w:marBottom w:val="0"/>
      <w:divBdr>
        <w:top w:val="none" w:sz="0" w:space="0" w:color="auto"/>
        <w:left w:val="none" w:sz="0" w:space="0" w:color="auto"/>
        <w:bottom w:val="none" w:sz="0" w:space="0" w:color="auto"/>
        <w:right w:val="none" w:sz="0" w:space="0" w:color="auto"/>
      </w:divBdr>
    </w:div>
    <w:div w:id="1249191234">
      <w:bodyDiv w:val="1"/>
      <w:marLeft w:val="0"/>
      <w:marRight w:val="0"/>
      <w:marTop w:val="0"/>
      <w:marBottom w:val="0"/>
      <w:divBdr>
        <w:top w:val="none" w:sz="0" w:space="0" w:color="auto"/>
        <w:left w:val="none" w:sz="0" w:space="0" w:color="auto"/>
        <w:bottom w:val="none" w:sz="0" w:space="0" w:color="auto"/>
        <w:right w:val="none" w:sz="0" w:space="0" w:color="auto"/>
      </w:divBdr>
    </w:div>
    <w:div w:id="1251626114">
      <w:bodyDiv w:val="1"/>
      <w:marLeft w:val="0"/>
      <w:marRight w:val="0"/>
      <w:marTop w:val="0"/>
      <w:marBottom w:val="0"/>
      <w:divBdr>
        <w:top w:val="none" w:sz="0" w:space="0" w:color="auto"/>
        <w:left w:val="none" w:sz="0" w:space="0" w:color="auto"/>
        <w:bottom w:val="none" w:sz="0" w:space="0" w:color="auto"/>
        <w:right w:val="none" w:sz="0" w:space="0" w:color="auto"/>
      </w:divBdr>
    </w:div>
    <w:div w:id="1257205175">
      <w:bodyDiv w:val="1"/>
      <w:marLeft w:val="0"/>
      <w:marRight w:val="0"/>
      <w:marTop w:val="0"/>
      <w:marBottom w:val="0"/>
      <w:divBdr>
        <w:top w:val="none" w:sz="0" w:space="0" w:color="auto"/>
        <w:left w:val="none" w:sz="0" w:space="0" w:color="auto"/>
        <w:bottom w:val="none" w:sz="0" w:space="0" w:color="auto"/>
        <w:right w:val="none" w:sz="0" w:space="0" w:color="auto"/>
      </w:divBdr>
    </w:div>
    <w:div w:id="1269510900">
      <w:bodyDiv w:val="1"/>
      <w:marLeft w:val="0"/>
      <w:marRight w:val="0"/>
      <w:marTop w:val="0"/>
      <w:marBottom w:val="0"/>
      <w:divBdr>
        <w:top w:val="none" w:sz="0" w:space="0" w:color="auto"/>
        <w:left w:val="none" w:sz="0" w:space="0" w:color="auto"/>
        <w:bottom w:val="none" w:sz="0" w:space="0" w:color="auto"/>
        <w:right w:val="none" w:sz="0" w:space="0" w:color="auto"/>
      </w:divBdr>
    </w:div>
    <w:div w:id="1287545560">
      <w:bodyDiv w:val="1"/>
      <w:marLeft w:val="0"/>
      <w:marRight w:val="0"/>
      <w:marTop w:val="0"/>
      <w:marBottom w:val="0"/>
      <w:divBdr>
        <w:top w:val="none" w:sz="0" w:space="0" w:color="auto"/>
        <w:left w:val="none" w:sz="0" w:space="0" w:color="auto"/>
        <w:bottom w:val="none" w:sz="0" w:space="0" w:color="auto"/>
        <w:right w:val="none" w:sz="0" w:space="0" w:color="auto"/>
      </w:divBdr>
    </w:div>
    <w:div w:id="1305039160">
      <w:bodyDiv w:val="1"/>
      <w:marLeft w:val="0"/>
      <w:marRight w:val="0"/>
      <w:marTop w:val="0"/>
      <w:marBottom w:val="0"/>
      <w:divBdr>
        <w:top w:val="none" w:sz="0" w:space="0" w:color="auto"/>
        <w:left w:val="none" w:sz="0" w:space="0" w:color="auto"/>
        <w:bottom w:val="none" w:sz="0" w:space="0" w:color="auto"/>
        <w:right w:val="none" w:sz="0" w:space="0" w:color="auto"/>
      </w:divBdr>
    </w:div>
    <w:div w:id="1308704479">
      <w:bodyDiv w:val="1"/>
      <w:marLeft w:val="0"/>
      <w:marRight w:val="0"/>
      <w:marTop w:val="0"/>
      <w:marBottom w:val="0"/>
      <w:divBdr>
        <w:top w:val="none" w:sz="0" w:space="0" w:color="auto"/>
        <w:left w:val="none" w:sz="0" w:space="0" w:color="auto"/>
        <w:bottom w:val="none" w:sz="0" w:space="0" w:color="auto"/>
        <w:right w:val="none" w:sz="0" w:space="0" w:color="auto"/>
      </w:divBdr>
    </w:div>
    <w:div w:id="1310986847">
      <w:bodyDiv w:val="1"/>
      <w:marLeft w:val="0"/>
      <w:marRight w:val="0"/>
      <w:marTop w:val="0"/>
      <w:marBottom w:val="0"/>
      <w:divBdr>
        <w:top w:val="none" w:sz="0" w:space="0" w:color="auto"/>
        <w:left w:val="none" w:sz="0" w:space="0" w:color="auto"/>
        <w:bottom w:val="none" w:sz="0" w:space="0" w:color="auto"/>
        <w:right w:val="none" w:sz="0" w:space="0" w:color="auto"/>
      </w:divBdr>
    </w:div>
    <w:div w:id="1320579215">
      <w:bodyDiv w:val="1"/>
      <w:marLeft w:val="0"/>
      <w:marRight w:val="0"/>
      <w:marTop w:val="0"/>
      <w:marBottom w:val="0"/>
      <w:divBdr>
        <w:top w:val="none" w:sz="0" w:space="0" w:color="auto"/>
        <w:left w:val="none" w:sz="0" w:space="0" w:color="auto"/>
        <w:bottom w:val="none" w:sz="0" w:space="0" w:color="auto"/>
        <w:right w:val="none" w:sz="0" w:space="0" w:color="auto"/>
      </w:divBdr>
    </w:div>
    <w:div w:id="1330015905">
      <w:bodyDiv w:val="1"/>
      <w:marLeft w:val="0"/>
      <w:marRight w:val="0"/>
      <w:marTop w:val="0"/>
      <w:marBottom w:val="0"/>
      <w:divBdr>
        <w:top w:val="none" w:sz="0" w:space="0" w:color="auto"/>
        <w:left w:val="none" w:sz="0" w:space="0" w:color="auto"/>
        <w:bottom w:val="none" w:sz="0" w:space="0" w:color="auto"/>
        <w:right w:val="none" w:sz="0" w:space="0" w:color="auto"/>
      </w:divBdr>
    </w:div>
    <w:div w:id="1363361483">
      <w:bodyDiv w:val="1"/>
      <w:marLeft w:val="0"/>
      <w:marRight w:val="0"/>
      <w:marTop w:val="0"/>
      <w:marBottom w:val="0"/>
      <w:divBdr>
        <w:top w:val="none" w:sz="0" w:space="0" w:color="auto"/>
        <w:left w:val="none" w:sz="0" w:space="0" w:color="auto"/>
        <w:bottom w:val="none" w:sz="0" w:space="0" w:color="auto"/>
        <w:right w:val="none" w:sz="0" w:space="0" w:color="auto"/>
      </w:divBdr>
    </w:div>
    <w:div w:id="1387024795">
      <w:bodyDiv w:val="1"/>
      <w:marLeft w:val="0"/>
      <w:marRight w:val="0"/>
      <w:marTop w:val="0"/>
      <w:marBottom w:val="0"/>
      <w:divBdr>
        <w:top w:val="none" w:sz="0" w:space="0" w:color="auto"/>
        <w:left w:val="none" w:sz="0" w:space="0" w:color="auto"/>
        <w:bottom w:val="none" w:sz="0" w:space="0" w:color="auto"/>
        <w:right w:val="none" w:sz="0" w:space="0" w:color="auto"/>
      </w:divBdr>
    </w:div>
    <w:div w:id="1400590760">
      <w:bodyDiv w:val="1"/>
      <w:marLeft w:val="0"/>
      <w:marRight w:val="0"/>
      <w:marTop w:val="0"/>
      <w:marBottom w:val="0"/>
      <w:divBdr>
        <w:top w:val="none" w:sz="0" w:space="0" w:color="auto"/>
        <w:left w:val="none" w:sz="0" w:space="0" w:color="auto"/>
        <w:bottom w:val="none" w:sz="0" w:space="0" w:color="auto"/>
        <w:right w:val="none" w:sz="0" w:space="0" w:color="auto"/>
      </w:divBdr>
    </w:div>
    <w:div w:id="1400858636">
      <w:bodyDiv w:val="1"/>
      <w:marLeft w:val="0"/>
      <w:marRight w:val="0"/>
      <w:marTop w:val="0"/>
      <w:marBottom w:val="0"/>
      <w:divBdr>
        <w:top w:val="none" w:sz="0" w:space="0" w:color="auto"/>
        <w:left w:val="none" w:sz="0" w:space="0" w:color="auto"/>
        <w:bottom w:val="none" w:sz="0" w:space="0" w:color="auto"/>
        <w:right w:val="none" w:sz="0" w:space="0" w:color="auto"/>
      </w:divBdr>
    </w:div>
    <w:div w:id="1441753149">
      <w:bodyDiv w:val="1"/>
      <w:marLeft w:val="0"/>
      <w:marRight w:val="0"/>
      <w:marTop w:val="0"/>
      <w:marBottom w:val="0"/>
      <w:divBdr>
        <w:top w:val="none" w:sz="0" w:space="0" w:color="auto"/>
        <w:left w:val="none" w:sz="0" w:space="0" w:color="auto"/>
        <w:bottom w:val="none" w:sz="0" w:space="0" w:color="auto"/>
        <w:right w:val="none" w:sz="0" w:space="0" w:color="auto"/>
      </w:divBdr>
    </w:div>
    <w:div w:id="1442410756">
      <w:bodyDiv w:val="1"/>
      <w:marLeft w:val="0"/>
      <w:marRight w:val="0"/>
      <w:marTop w:val="0"/>
      <w:marBottom w:val="0"/>
      <w:divBdr>
        <w:top w:val="none" w:sz="0" w:space="0" w:color="auto"/>
        <w:left w:val="none" w:sz="0" w:space="0" w:color="auto"/>
        <w:bottom w:val="none" w:sz="0" w:space="0" w:color="auto"/>
        <w:right w:val="none" w:sz="0" w:space="0" w:color="auto"/>
      </w:divBdr>
    </w:div>
    <w:div w:id="1538928608">
      <w:bodyDiv w:val="1"/>
      <w:marLeft w:val="0"/>
      <w:marRight w:val="0"/>
      <w:marTop w:val="0"/>
      <w:marBottom w:val="0"/>
      <w:divBdr>
        <w:top w:val="none" w:sz="0" w:space="0" w:color="auto"/>
        <w:left w:val="none" w:sz="0" w:space="0" w:color="auto"/>
        <w:bottom w:val="none" w:sz="0" w:space="0" w:color="auto"/>
        <w:right w:val="none" w:sz="0" w:space="0" w:color="auto"/>
      </w:divBdr>
    </w:div>
    <w:div w:id="1545211449">
      <w:bodyDiv w:val="1"/>
      <w:marLeft w:val="0"/>
      <w:marRight w:val="0"/>
      <w:marTop w:val="0"/>
      <w:marBottom w:val="0"/>
      <w:divBdr>
        <w:top w:val="none" w:sz="0" w:space="0" w:color="auto"/>
        <w:left w:val="none" w:sz="0" w:space="0" w:color="auto"/>
        <w:bottom w:val="none" w:sz="0" w:space="0" w:color="auto"/>
        <w:right w:val="none" w:sz="0" w:space="0" w:color="auto"/>
      </w:divBdr>
    </w:div>
    <w:div w:id="1557935651">
      <w:bodyDiv w:val="1"/>
      <w:marLeft w:val="0"/>
      <w:marRight w:val="0"/>
      <w:marTop w:val="0"/>
      <w:marBottom w:val="0"/>
      <w:divBdr>
        <w:top w:val="none" w:sz="0" w:space="0" w:color="auto"/>
        <w:left w:val="none" w:sz="0" w:space="0" w:color="auto"/>
        <w:bottom w:val="none" w:sz="0" w:space="0" w:color="auto"/>
        <w:right w:val="none" w:sz="0" w:space="0" w:color="auto"/>
      </w:divBdr>
    </w:div>
    <w:div w:id="1596940564">
      <w:bodyDiv w:val="1"/>
      <w:marLeft w:val="0"/>
      <w:marRight w:val="0"/>
      <w:marTop w:val="0"/>
      <w:marBottom w:val="0"/>
      <w:divBdr>
        <w:top w:val="none" w:sz="0" w:space="0" w:color="auto"/>
        <w:left w:val="none" w:sz="0" w:space="0" w:color="auto"/>
        <w:bottom w:val="none" w:sz="0" w:space="0" w:color="auto"/>
        <w:right w:val="none" w:sz="0" w:space="0" w:color="auto"/>
      </w:divBdr>
    </w:div>
    <w:div w:id="1630630514">
      <w:bodyDiv w:val="1"/>
      <w:marLeft w:val="0"/>
      <w:marRight w:val="0"/>
      <w:marTop w:val="0"/>
      <w:marBottom w:val="0"/>
      <w:divBdr>
        <w:top w:val="none" w:sz="0" w:space="0" w:color="auto"/>
        <w:left w:val="none" w:sz="0" w:space="0" w:color="auto"/>
        <w:bottom w:val="none" w:sz="0" w:space="0" w:color="auto"/>
        <w:right w:val="none" w:sz="0" w:space="0" w:color="auto"/>
      </w:divBdr>
    </w:div>
    <w:div w:id="1694067018">
      <w:bodyDiv w:val="1"/>
      <w:marLeft w:val="0"/>
      <w:marRight w:val="0"/>
      <w:marTop w:val="0"/>
      <w:marBottom w:val="0"/>
      <w:divBdr>
        <w:top w:val="none" w:sz="0" w:space="0" w:color="auto"/>
        <w:left w:val="none" w:sz="0" w:space="0" w:color="auto"/>
        <w:bottom w:val="none" w:sz="0" w:space="0" w:color="auto"/>
        <w:right w:val="none" w:sz="0" w:space="0" w:color="auto"/>
      </w:divBdr>
    </w:div>
    <w:div w:id="1698581996">
      <w:bodyDiv w:val="1"/>
      <w:marLeft w:val="0"/>
      <w:marRight w:val="0"/>
      <w:marTop w:val="0"/>
      <w:marBottom w:val="0"/>
      <w:divBdr>
        <w:top w:val="none" w:sz="0" w:space="0" w:color="auto"/>
        <w:left w:val="none" w:sz="0" w:space="0" w:color="auto"/>
        <w:bottom w:val="none" w:sz="0" w:space="0" w:color="auto"/>
        <w:right w:val="none" w:sz="0" w:space="0" w:color="auto"/>
      </w:divBdr>
    </w:div>
    <w:div w:id="1727336024">
      <w:bodyDiv w:val="1"/>
      <w:marLeft w:val="0"/>
      <w:marRight w:val="0"/>
      <w:marTop w:val="0"/>
      <w:marBottom w:val="0"/>
      <w:divBdr>
        <w:top w:val="none" w:sz="0" w:space="0" w:color="auto"/>
        <w:left w:val="none" w:sz="0" w:space="0" w:color="auto"/>
        <w:bottom w:val="none" w:sz="0" w:space="0" w:color="auto"/>
        <w:right w:val="none" w:sz="0" w:space="0" w:color="auto"/>
      </w:divBdr>
    </w:div>
    <w:div w:id="1738745818">
      <w:bodyDiv w:val="1"/>
      <w:marLeft w:val="0"/>
      <w:marRight w:val="0"/>
      <w:marTop w:val="0"/>
      <w:marBottom w:val="0"/>
      <w:divBdr>
        <w:top w:val="none" w:sz="0" w:space="0" w:color="auto"/>
        <w:left w:val="none" w:sz="0" w:space="0" w:color="auto"/>
        <w:bottom w:val="none" w:sz="0" w:space="0" w:color="auto"/>
        <w:right w:val="none" w:sz="0" w:space="0" w:color="auto"/>
      </w:divBdr>
    </w:div>
    <w:div w:id="1743479581">
      <w:bodyDiv w:val="1"/>
      <w:marLeft w:val="0"/>
      <w:marRight w:val="0"/>
      <w:marTop w:val="0"/>
      <w:marBottom w:val="0"/>
      <w:divBdr>
        <w:top w:val="none" w:sz="0" w:space="0" w:color="auto"/>
        <w:left w:val="none" w:sz="0" w:space="0" w:color="auto"/>
        <w:bottom w:val="none" w:sz="0" w:space="0" w:color="auto"/>
        <w:right w:val="none" w:sz="0" w:space="0" w:color="auto"/>
      </w:divBdr>
    </w:div>
    <w:div w:id="1747873413">
      <w:bodyDiv w:val="1"/>
      <w:marLeft w:val="0"/>
      <w:marRight w:val="0"/>
      <w:marTop w:val="0"/>
      <w:marBottom w:val="0"/>
      <w:divBdr>
        <w:top w:val="none" w:sz="0" w:space="0" w:color="auto"/>
        <w:left w:val="none" w:sz="0" w:space="0" w:color="auto"/>
        <w:bottom w:val="none" w:sz="0" w:space="0" w:color="auto"/>
        <w:right w:val="none" w:sz="0" w:space="0" w:color="auto"/>
      </w:divBdr>
    </w:div>
    <w:div w:id="1755736616">
      <w:bodyDiv w:val="1"/>
      <w:marLeft w:val="0"/>
      <w:marRight w:val="0"/>
      <w:marTop w:val="0"/>
      <w:marBottom w:val="0"/>
      <w:divBdr>
        <w:top w:val="none" w:sz="0" w:space="0" w:color="auto"/>
        <w:left w:val="none" w:sz="0" w:space="0" w:color="auto"/>
        <w:bottom w:val="none" w:sz="0" w:space="0" w:color="auto"/>
        <w:right w:val="none" w:sz="0" w:space="0" w:color="auto"/>
      </w:divBdr>
    </w:div>
    <w:div w:id="1781874360">
      <w:bodyDiv w:val="1"/>
      <w:marLeft w:val="0"/>
      <w:marRight w:val="0"/>
      <w:marTop w:val="0"/>
      <w:marBottom w:val="0"/>
      <w:divBdr>
        <w:top w:val="none" w:sz="0" w:space="0" w:color="auto"/>
        <w:left w:val="none" w:sz="0" w:space="0" w:color="auto"/>
        <w:bottom w:val="none" w:sz="0" w:space="0" w:color="auto"/>
        <w:right w:val="none" w:sz="0" w:space="0" w:color="auto"/>
      </w:divBdr>
    </w:div>
    <w:div w:id="1788549453">
      <w:bodyDiv w:val="1"/>
      <w:marLeft w:val="0"/>
      <w:marRight w:val="0"/>
      <w:marTop w:val="0"/>
      <w:marBottom w:val="0"/>
      <w:divBdr>
        <w:top w:val="none" w:sz="0" w:space="0" w:color="auto"/>
        <w:left w:val="none" w:sz="0" w:space="0" w:color="auto"/>
        <w:bottom w:val="none" w:sz="0" w:space="0" w:color="auto"/>
        <w:right w:val="none" w:sz="0" w:space="0" w:color="auto"/>
      </w:divBdr>
    </w:div>
    <w:div w:id="1791975601">
      <w:bodyDiv w:val="1"/>
      <w:marLeft w:val="0"/>
      <w:marRight w:val="0"/>
      <w:marTop w:val="0"/>
      <w:marBottom w:val="0"/>
      <w:divBdr>
        <w:top w:val="none" w:sz="0" w:space="0" w:color="auto"/>
        <w:left w:val="none" w:sz="0" w:space="0" w:color="auto"/>
        <w:bottom w:val="none" w:sz="0" w:space="0" w:color="auto"/>
        <w:right w:val="none" w:sz="0" w:space="0" w:color="auto"/>
      </w:divBdr>
    </w:div>
    <w:div w:id="1797747362">
      <w:bodyDiv w:val="1"/>
      <w:marLeft w:val="0"/>
      <w:marRight w:val="0"/>
      <w:marTop w:val="0"/>
      <w:marBottom w:val="0"/>
      <w:divBdr>
        <w:top w:val="none" w:sz="0" w:space="0" w:color="auto"/>
        <w:left w:val="none" w:sz="0" w:space="0" w:color="auto"/>
        <w:bottom w:val="none" w:sz="0" w:space="0" w:color="auto"/>
        <w:right w:val="none" w:sz="0" w:space="0" w:color="auto"/>
      </w:divBdr>
    </w:div>
    <w:div w:id="1812939311">
      <w:bodyDiv w:val="1"/>
      <w:marLeft w:val="0"/>
      <w:marRight w:val="0"/>
      <w:marTop w:val="0"/>
      <w:marBottom w:val="0"/>
      <w:divBdr>
        <w:top w:val="none" w:sz="0" w:space="0" w:color="auto"/>
        <w:left w:val="none" w:sz="0" w:space="0" w:color="auto"/>
        <w:bottom w:val="none" w:sz="0" w:space="0" w:color="auto"/>
        <w:right w:val="none" w:sz="0" w:space="0" w:color="auto"/>
      </w:divBdr>
    </w:div>
    <w:div w:id="1882672298">
      <w:bodyDiv w:val="1"/>
      <w:marLeft w:val="0"/>
      <w:marRight w:val="0"/>
      <w:marTop w:val="0"/>
      <w:marBottom w:val="0"/>
      <w:divBdr>
        <w:top w:val="none" w:sz="0" w:space="0" w:color="auto"/>
        <w:left w:val="none" w:sz="0" w:space="0" w:color="auto"/>
        <w:bottom w:val="none" w:sz="0" w:space="0" w:color="auto"/>
        <w:right w:val="none" w:sz="0" w:space="0" w:color="auto"/>
      </w:divBdr>
    </w:div>
    <w:div w:id="1906526519">
      <w:bodyDiv w:val="1"/>
      <w:marLeft w:val="0"/>
      <w:marRight w:val="0"/>
      <w:marTop w:val="0"/>
      <w:marBottom w:val="0"/>
      <w:divBdr>
        <w:top w:val="none" w:sz="0" w:space="0" w:color="auto"/>
        <w:left w:val="none" w:sz="0" w:space="0" w:color="auto"/>
        <w:bottom w:val="none" w:sz="0" w:space="0" w:color="auto"/>
        <w:right w:val="none" w:sz="0" w:space="0" w:color="auto"/>
      </w:divBdr>
    </w:div>
    <w:div w:id="1936548048">
      <w:bodyDiv w:val="1"/>
      <w:marLeft w:val="0"/>
      <w:marRight w:val="0"/>
      <w:marTop w:val="0"/>
      <w:marBottom w:val="0"/>
      <w:divBdr>
        <w:top w:val="none" w:sz="0" w:space="0" w:color="auto"/>
        <w:left w:val="none" w:sz="0" w:space="0" w:color="auto"/>
        <w:bottom w:val="none" w:sz="0" w:space="0" w:color="auto"/>
        <w:right w:val="none" w:sz="0" w:space="0" w:color="auto"/>
      </w:divBdr>
    </w:div>
    <w:div w:id="1941644828">
      <w:bodyDiv w:val="1"/>
      <w:marLeft w:val="0"/>
      <w:marRight w:val="0"/>
      <w:marTop w:val="0"/>
      <w:marBottom w:val="0"/>
      <w:divBdr>
        <w:top w:val="none" w:sz="0" w:space="0" w:color="auto"/>
        <w:left w:val="none" w:sz="0" w:space="0" w:color="auto"/>
        <w:bottom w:val="none" w:sz="0" w:space="0" w:color="auto"/>
        <w:right w:val="none" w:sz="0" w:space="0" w:color="auto"/>
      </w:divBdr>
    </w:div>
    <w:div w:id="1957784715">
      <w:bodyDiv w:val="1"/>
      <w:marLeft w:val="0"/>
      <w:marRight w:val="0"/>
      <w:marTop w:val="0"/>
      <w:marBottom w:val="0"/>
      <w:divBdr>
        <w:top w:val="none" w:sz="0" w:space="0" w:color="auto"/>
        <w:left w:val="none" w:sz="0" w:space="0" w:color="auto"/>
        <w:bottom w:val="none" w:sz="0" w:space="0" w:color="auto"/>
        <w:right w:val="none" w:sz="0" w:space="0" w:color="auto"/>
      </w:divBdr>
    </w:div>
    <w:div w:id="1969387531">
      <w:bodyDiv w:val="1"/>
      <w:marLeft w:val="0"/>
      <w:marRight w:val="0"/>
      <w:marTop w:val="0"/>
      <w:marBottom w:val="0"/>
      <w:divBdr>
        <w:top w:val="none" w:sz="0" w:space="0" w:color="auto"/>
        <w:left w:val="none" w:sz="0" w:space="0" w:color="auto"/>
        <w:bottom w:val="none" w:sz="0" w:space="0" w:color="auto"/>
        <w:right w:val="none" w:sz="0" w:space="0" w:color="auto"/>
      </w:divBdr>
    </w:div>
    <w:div w:id="1976526631">
      <w:bodyDiv w:val="1"/>
      <w:marLeft w:val="0"/>
      <w:marRight w:val="0"/>
      <w:marTop w:val="0"/>
      <w:marBottom w:val="0"/>
      <w:divBdr>
        <w:top w:val="none" w:sz="0" w:space="0" w:color="auto"/>
        <w:left w:val="none" w:sz="0" w:space="0" w:color="auto"/>
        <w:bottom w:val="none" w:sz="0" w:space="0" w:color="auto"/>
        <w:right w:val="none" w:sz="0" w:space="0" w:color="auto"/>
      </w:divBdr>
    </w:div>
    <w:div w:id="2000649321">
      <w:bodyDiv w:val="1"/>
      <w:marLeft w:val="0"/>
      <w:marRight w:val="0"/>
      <w:marTop w:val="0"/>
      <w:marBottom w:val="0"/>
      <w:divBdr>
        <w:top w:val="none" w:sz="0" w:space="0" w:color="auto"/>
        <w:left w:val="none" w:sz="0" w:space="0" w:color="auto"/>
        <w:bottom w:val="none" w:sz="0" w:space="0" w:color="auto"/>
        <w:right w:val="none" w:sz="0" w:space="0" w:color="auto"/>
      </w:divBdr>
    </w:div>
    <w:div w:id="2036925293">
      <w:bodyDiv w:val="1"/>
      <w:marLeft w:val="0"/>
      <w:marRight w:val="0"/>
      <w:marTop w:val="0"/>
      <w:marBottom w:val="0"/>
      <w:divBdr>
        <w:top w:val="none" w:sz="0" w:space="0" w:color="auto"/>
        <w:left w:val="none" w:sz="0" w:space="0" w:color="auto"/>
        <w:bottom w:val="none" w:sz="0" w:space="0" w:color="auto"/>
        <w:right w:val="none" w:sz="0" w:space="0" w:color="auto"/>
      </w:divBdr>
    </w:div>
    <w:div w:id="2049987100">
      <w:bodyDiv w:val="1"/>
      <w:marLeft w:val="0"/>
      <w:marRight w:val="0"/>
      <w:marTop w:val="0"/>
      <w:marBottom w:val="0"/>
      <w:divBdr>
        <w:top w:val="none" w:sz="0" w:space="0" w:color="auto"/>
        <w:left w:val="none" w:sz="0" w:space="0" w:color="auto"/>
        <w:bottom w:val="none" w:sz="0" w:space="0" w:color="auto"/>
        <w:right w:val="none" w:sz="0" w:space="0" w:color="auto"/>
      </w:divBdr>
    </w:div>
    <w:div w:id="2051222986">
      <w:bodyDiv w:val="1"/>
      <w:marLeft w:val="0"/>
      <w:marRight w:val="0"/>
      <w:marTop w:val="0"/>
      <w:marBottom w:val="0"/>
      <w:divBdr>
        <w:top w:val="none" w:sz="0" w:space="0" w:color="auto"/>
        <w:left w:val="none" w:sz="0" w:space="0" w:color="auto"/>
        <w:bottom w:val="none" w:sz="0" w:space="0" w:color="auto"/>
        <w:right w:val="none" w:sz="0" w:space="0" w:color="auto"/>
      </w:divBdr>
    </w:div>
    <w:div w:id="2052344812">
      <w:bodyDiv w:val="1"/>
      <w:marLeft w:val="0"/>
      <w:marRight w:val="0"/>
      <w:marTop w:val="0"/>
      <w:marBottom w:val="0"/>
      <w:divBdr>
        <w:top w:val="none" w:sz="0" w:space="0" w:color="auto"/>
        <w:left w:val="none" w:sz="0" w:space="0" w:color="auto"/>
        <w:bottom w:val="none" w:sz="0" w:space="0" w:color="auto"/>
        <w:right w:val="none" w:sz="0" w:space="0" w:color="auto"/>
      </w:divBdr>
    </w:div>
    <w:div w:id="2070687072">
      <w:bodyDiv w:val="1"/>
      <w:marLeft w:val="0"/>
      <w:marRight w:val="0"/>
      <w:marTop w:val="0"/>
      <w:marBottom w:val="0"/>
      <w:divBdr>
        <w:top w:val="none" w:sz="0" w:space="0" w:color="auto"/>
        <w:left w:val="none" w:sz="0" w:space="0" w:color="auto"/>
        <w:bottom w:val="none" w:sz="0" w:space="0" w:color="auto"/>
        <w:right w:val="none" w:sz="0" w:space="0" w:color="auto"/>
      </w:divBdr>
    </w:div>
    <w:div w:id="2088455733">
      <w:bodyDiv w:val="1"/>
      <w:marLeft w:val="0"/>
      <w:marRight w:val="0"/>
      <w:marTop w:val="0"/>
      <w:marBottom w:val="0"/>
      <w:divBdr>
        <w:top w:val="none" w:sz="0" w:space="0" w:color="auto"/>
        <w:left w:val="none" w:sz="0" w:space="0" w:color="auto"/>
        <w:bottom w:val="none" w:sz="0" w:space="0" w:color="auto"/>
        <w:right w:val="none" w:sz="0" w:space="0" w:color="auto"/>
      </w:divBdr>
    </w:div>
    <w:div w:id="2088916433">
      <w:bodyDiv w:val="1"/>
      <w:marLeft w:val="0"/>
      <w:marRight w:val="0"/>
      <w:marTop w:val="0"/>
      <w:marBottom w:val="0"/>
      <w:divBdr>
        <w:top w:val="none" w:sz="0" w:space="0" w:color="auto"/>
        <w:left w:val="none" w:sz="0" w:space="0" w:color="auto"/>
        <w:bottom w:val="none" w:sz="0" w:space="0" w:color="auto"/>
        <w:right w:val="none" w:sz="0" w:space="0" w:color="auto"/>
      </w:divBdr>
    </w:div>
    <w:div w:id="2090350485">
      <w:bodyDiv w:val="1"/>
      <w:marLeft w:val="0"/>
      <w:marRight w:val="0"/>
      <w:marTop w:val="0"/>
      <w:marBottom w:val="0"/>
      <w:divBdr>
        <w:top w:val="none" w:sz="0" w:space="0" w:color="auto"/>
        <w:left w:val="none" w:sz="0" w:space="0" w:color="auto"/>
        <w:bottom w:val="none" w:sz="0" w:space="0" w:color="auto"/>
        <w:right w:val="none" w:sz="0" w:space="0" w:color="auto"/>
      </w:divBdr>
    </w:div>
    <w:div w:id="2099323416">
      <w:bodyDiv w:val="1"/>
      <w:marLeft w:val="0"/>
      <w:marRight w:val="0"/>
      <w:marTop w:val="0"/>
      <w:marBottom w:val="0"/>
      <w:divBdr>
        <w:top w:val="none" w:sz="0" w:space="0" w:color="auto"/>
        <w:left w:val="none" w:sz="0" w:space="0" w:color="auto"/>
        <w:bottom w:val="none" w:sz="0" w:space="0" w:color="auto"/>
        <w:right w:val="none" w:sz="0" w:space="0" w:color="auto"/>
      </w:divBdr>
    </w:div>
    <w:div w:id="2104492379">
      <w:bodyDiv w:val="1"/>
      <w:marLeft w:val="0"/>
      <w:marRight w:val="0"/>
      <w:marTop w:val="0"/>
      <w:marBottom w:val="0"/>
      <w:divBdr>
        <w:top w:val="none" w:sz="0" w:space="0" w:color="auto"/>
        <w:left w:val="none" w:sz="0" w:space="0" w:color="auto"/>
        <w:bottom w:val="none" w:sz="0" w:space="0" w:color="auto"/>
        <w:right w:val="none" w:sz="0" w:space="0" w:color="auto"/>
      </w:divBdr>
    </w:div>
    <w:div w:id="2104690034">
      <w:bodyDiv w:val="1"/>
      <w:marLeft w:val="0"/>
      <w:marRight w:val="0"/>
      <w:marTop w:val="0"/>
      <w:marBottom w:val="0"/>
      <w:divBdr>
        <w:top w:val="none" w:sz="0" w:space="0" w:color="auto"/>
        <w:left w:val="none" w:sz="0" w:space="0" w:color="auto"/>
        <w:bottom w:val="none" w:sz="0" w:space="0" w:color="auto"/>
        <w:right w:val="none" w:sz="0" w:space="0" w:color="auto"/>
      </w:divBdr>
    </w:div>
    <w:div w:id="21389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20" Type="http://schemas.openxmlformats.org/officeDocument/2006/relationships/hyperlink" Target="https://www.theguardian.com/society/2020/may/20/watchdog-reveals-88m-attempts-to-access-online-child-abuse-in-april" TargetMode="External"/><Relationship Id="rId21" Type="http://schemas.openxmlformats.org/officeDocument/2006/relationships/hyperlink" Target="https://www.local.gov.uk/childrens-social-care-referrals-fell-fifth-during-lockdown" TargetMode="External"/><Relationship Id="rId22" Type="http://schemas.openxmlformats.org/officeDocument/2006/relationships/hyperlink" Target="https://www.childrenscommissioner.gov.uk/wp-content/uploads/2021/01/cco-too-many-at-risk-children-are-still-invisible-to-social-care.pdf" TargetMode="External"/><Relationship Id="rId23" Type="http://schemas.openxmlformats.org/officeDocument/2006/relationships/hyperlink" Target="https://nya.org.uk/2020/06/hidden-in-plain-sight/" TargetMode="External"/><Relationship Id="rId24" Type="http://schemas.openxmlformats.org/officeDocument/2006/relationships/hyperlink" Target="https://www.endviolenceagainstwomen.org.uk/wp-content/uploads/Glitch-and-EVAW-The-Ripple-Effect-Online-abuse-during-COVID-19-Sept-2020.pdf" TargetMode="External"/><Relationship Id="rId25" Type="http://schemas.openxmlformats.org/officeDocument/2006/relationships/hyperlink" Target="https://www.womensaid.org.uk/information-support/what-is-domestic-abuse/onlinesafety/" TargetMode="External"/><Relationship Id="rId26" Type="http://schemas.openxmlformats.org/officeDocument/2006/relationships/hyperlink" Target="https://www.ons.gov.uk/peoplepopulationandcommunity/crimeandjustice/articles/domesticabuseandthecriminaljusticesystemenglandandwales/november2020" TargetMode="External"/><Relationship Id="rId27" Type="http://schemas.openxmlformats.org/officeDocument/2006/relationships/hyperlink" Target="http://driveproject.org.uk/wp-content/uploads/2020/02/Executive-Summary_Final2020.pdf" TargetMode="External"/><Relationship Id="rId28" Type="http://schemas.openxmlformats.org/officeDocument/2006/relationships/hyperlink" Target="https://www.uos.ac.uk/sites/www.uos.ac.uk/files/Family%20and%20intimate%20relationship%20harm%20within%20black%20and%20minority%20ethnic%20communitiesFINAL%20%281%29.pdf" TargetMode="External"/><Relationship Id="rId29" Type="http://schemas.openxmlformats.org/officeDocument/2006/relationships/hyperlink" Target="https://metro.co.uk/2020/09/23/huge-rise-in-women-and-girls-going-to-hospital-for-physical-mental-or-sexual-abuse-13313166/?ito=cbshare" TargetMode="External"/><Relationship Id="rId1" Type="http://schemas.openxmlformats.org/officeDocument/2006/relationships/hyperlink" Target="https://www.ons.gov.uk/peoplepopulationandcommunity/crimeandjustice/bulletins/domesticabuseinenglandandwalesoverview/november2019" TargetMode="External"/><Relationship Id="rId2" Type="http://schemas.openxmlformats.org/officeDocument/2006/relationships/hyperlink" Target="https://www.ons.gov.uk/peoplepopulationandcommunity/crimeandjustice/articles/homicideinenglandandwales/yearendingmarch2018" TargetMode="External"/><Relationship Id="rId3" Type="http://schemas.openxmlformats.org/officeDocument/2006/relationships/hyperlink" Target="https://www.ons.gov.uk/peoplepopulationandcommunity/crimeandjustice/articles/sexualoffencesinenglandandwales/yearendingmarch2017" TargetMode="External"/><Relationship Id="rId4" Type="http://schemas.openxmlformats.org/officeDocument/2006/relationships/hyperlink" Target="https://www.city.ac.uk/news/2014/jul/new-report-shows-137,000-women-and-girls-with-fgm-in-england-and-wales" TargetMode="External"/><Relationship Id="rId5" Type="http://schemas.openxmlformats.org/officeDocument/2006/relationships/hyperlink" Target="https://www.endviolenceagainstwomen.org.uk/yougov-poll-exposes-high-levels-sexual-harassment-in-schools/" TargetMode="External"/><Relationship Id="rId30" Type="http://schemas.openxmlformats.org/officeDocument/2006/relationships/hyperlink" Target="https://static1.squarespace.com/static/5ee0be2588f1e349401c832c/t/5ef35fc7d4c474437a774783/1593008073853/Pathfinder+Key+Findings+Report_Final.pdf" TargetMode="External"/><Relationship Id="rId31" Type="http://schemas.openxmlformats.org/officeDocument/2006/relationships/hyperlink" Target="https://irisi.org/" TargetMode="External"/><Relationship Id="rId32" Type="http://schemas.openxmlformats.org/officeDocument/2006/relationships/hyperlink" Target="https://829ef90d-0745-49b2-b404-cbea85f15fda.filesusr.com/ugd/2f475d_9cab044d7d25404d85da289b70978237.pdf" TargetMode="External"/><Relationship Id="rId9" Type="http://schemas.openxmlformats.org/officeDocument/2006/relationships/hyperlink" Target="https://www.bbc.co.uk/news/uk-53498675" TargetMode="External"/><Relationship Id="rId6" Type="http://schemas.openxmlformats.org/officeDocument/2006/relationships/hyperlink" Target="https://www.endingracisminvawg.org/" TargetMode="External"/><Relationship Id="rId7" Type="http://schemas.openxmlformats.org/officeDocument/2006/relationships/hyperlink" Target="https://www.ons.gov.uk/releases/explainingethnicbackgroundcontrastsindeathsinvolvingcovid19england2ndmarchto3rdjuly2020" TargetMode="External"/><Relationship Id="rId8" Type="http://schemas.openxmlformats.org/officeDocument/2006/relationships/hyperlink" Target="https://www.ons.gov.uk/peoplepopulationandcommunity/crimeandjustice/bulletins/domesticabuseinenglandandwalesoverview/november2020" TargetMode="External"/><Relationship Id="rId33" Type="http://schemas.openxmlformats.org/officeDocument/2006/relationships/hyperlink" Target="https://safelives.org.uk/sites/default/files/A%20Safe%20Fund%20costing%20domestic%20abuse%20provision%20for%20the%20whole%20family%20in%20England%20and%20Wales_0.pdf" TargetMode="External"/><Relationship Id="rId34" Type="http://schemas.openxmlformats.org/officeDocument/2006/relationships/hyperlink" Target="https://www.endviolenceagainstwomen.org.uk/vawg-sector-call-for-strategic-investment-to-end-abuse/" TargetMode="External"/><Relationship Id="rId35" Type="http://schemas.openxmlformats.org/officeDocument/2006/relationships/hyperlink" Target="https://829ef90d-0745-49b2-b404cbea85f15fda.filesusr.com/ugd/f98049_a0f11db6395a48fbbac0e40da899dcb8.pdf" TargetMode="External"/><Relationship Id="rId36" Type="http://schemas.openxmlformats.org/officeDocument/2006/relationships/hyperlink" Target="https://www.iicsa.org.uk/key-documents/19530/view/ethnic-minorities-june-2020.pdf" TargetMode="External"/><Relationship Id="rId10" Type="http://schemas.openxmlformats.org/officeDocument/2006/relationships/hyperlink" Target="https://hubble-live-assets.s3.amazonaws.com/respect/redactor2_assets/files/136/Home_Affairs_Call_for_Evidence_Covid_19_Preparedness_April_2020_FINAL.pdf" TargetMode="External"/><Relationship Id="rId11" Type="http://schemas.openxmlformats.org/officeDocument/2006/relationships/hyperlink" Target="https://karmanirvana.org.uk/wp-content/uploads/2020/06/Impact-on-BAME-Services_COVID19.pdf" TargetMode="External"/><Relationship Id="rId12" Type="http://schemas.openxmlformats.org/officeDocument/2006/relationships/hyperlink" Target="https://static1.squarespace.com/static/5af498dd3c3a53848b8530b6/t/5f8d43da5688f32ed1347aaa/1603093480213/Locked_in_abuse_locked_out_of_safety_S4Sreport.pdf" TargetMode="External"/><Relationship Id="rId13" Type="http://schemas.openxmlformats.org/officeDocument/2006/relationships/hyperlink" Target="https://www.forwarduk.org.uk/wp-content/uploads/2021/01/Forward-FGM-Safeguarding-Research-Report-Bristol-Study-2021.pdf" TargetMode="External"/><Relationship Id="rId14" Type="http://schemas.openxmlformats.org/officeDocument/2006/relationships/hyperlink" Target="https://www.womensaid.org.uk/wp-content/uploads/2020/08/A-Perfect-Storm-August-2020-1.pdf" TargetMode="External"/><Relationship Id="rId15" Type="http://schemas.openxmlformats.org/officeDocument/2006/relationships/hyperlink" Target="https://www.cps.gov.uk/publication/cps-data-summary-quarter-4-2019-2020" TargetMode="External"/><Relationship Id="rId16" Type="http://schemas.openxmlformats.org/officeDocument/2006/relationships/hyperlink" Target="https://www.endviolenceagainstwomen.org.uk/26-27-january-court-of-appeal-rape-campaigners-face-cps-in-court/" TargetMode="External"/><Relationship Id="rId17" Type="http://schemas.openxmlformats.org/officeDocument/2006/relationships/hyperlink" Target="https://www.thetimes.co.uk/article/rape-victims-may-be-denied-justice-by-courts-backlog-r2mswzbhs" TargetMode="External"/><Relationship Id="rId18" Type="http://schemas.openxmlformats.org/officeDocument/2006/relationships/hyperlink" Target="https://www.equalityhumanrights.com/sites/default/files/inclusive_justice_a_system_designed_for_all_interim_report_0.pdf" TargetMode="External"/><Relationship Id="rId19" Type="http://schemas.openxmlformats.org/officeDocument/2006/relationships/hyperlink" Target="https://www.theguardian.com/society/2020/jul/08/sharp-increase-in-uk-child-sexual-abuse-during-pandemic" TargetMode="External"/><Relationship Id="rId37" Type="http://schemas.openxmlformats.org/officeDocument/2006/relationships/hyperlink" Target="https://assets.publishing.service.gov.uk/government/uploads/system/uploads/attachment_data/file/944206/Group-based_CSE_Paper.pdf" TargetMode="External"/><Relationship Id="rId38" Type="http://schemas.openxmlformats.org/officeDocument/2006/relationships/hyperlink" Target="https://www.gov.uk/government/publications/online-harms-interim-codes-of-practice/interim-code-of-practice-on-online-child-sexual-exploitation-and-abuse-accessible-version" TargetMode="External"/><Relationship Id="rId39" Type="http://schemas.openxmlformats.org/officeDocument/2006/relationships/hyperlink" Target="https://www.ons.gov.uk/peoplepopulationandcommunity/crimeandjustice/articles/sexualoffencesinenglandandwales/yearendingmarch2017" TargetMode="External"/><Relationship Id="rId40" Type="http://schemas.openxmlformats.org/officeDocument/2006/relationships/hyperlink" Target="https://www.theguardian.com/society/2020/sep/22/ngozi-fulani-black-women-domestic-violence-police" TargetMode="External"/><Relationship Id="rId41" Type="http://schemas.openxmlformats.org/officeDocument/2006/relationships/hyperlink" Target="https://www.endviolenceagainstwomen.org.uk/wp-content/uploads/C-Decriminalisation-of-Rape-Report-CWJ-EVAW-IMKAAN-RCEW-NOV-2020.pdf" TargetMode="External"/><Relationship Id="rId42" Type="http://schemas.openxmlformats.org/officeDocument/2006/relationships/hyperlink" Target="https://www.womensaid.org.uk/wp-content/uploads/2020/06/Nowhere-to-Turn-2020.pdf" TargetMode="External"/><Relationship Id="rId43" Type="http://schemas.openxmlformats.org/officeDocument/2006/relationships/hyperlink" Target="https://stepupmigrantwomenuk.files.wordpress.com/2019/05/the-right-to-be-believed-full-version-updated.pdf" TargetMode="External"/><Relationship Id="rId44" Type="http://schemas.openxmlformats.org/officeDocument/2006/relationships/hyperlink" Target="https://assets.publishing.service.gov.uk/government/uploads/system/uploads/attachment_data/file/945314/safe-to-share-liberty-southall-black-sisters-super-complaint-policing-immigration-status.pdf" TargetMode="External"/><Relationship Id="rId45" Type="http://schemas.openxmlformats.org/officeDocument/2006/relationships/hyperlink" Target="https://assets.publishing.service.gov.uk/government/uploads/system/uploads/attachment_data/file/928764/CCS001_CCS1020331858-003_Istanbul_Convention_Progress_Report_E-Lay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8E36-582F-184D-A16F-D0A911D2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5288</Words>
  <Characters>30144</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Selvarajah</dc:creator>
  <cp:keywords/>
  <dc:description/>
  <cp:lastModifiedBy>Emily Hilton</cp:lastModifiedBy>
  <cp:revision>2</cp:revision>
  <dcterms:created xsi:type="dcterms:W3CDTF">2021-02-10T16:19:00Z</dcterms:created>
  <dcterms:modified xsi:type="dcterms:W3CDTF">2021-02-10T16:19:00Z</dcterms:modified>
</cp:coreProperties>
</file>